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B11C89" w14:textId="07B0B323" w:rsidR="00CF74A9" w:rsidRPr="00CF74A9" w:rsidRDefault="00CF74A9" w:rsidP="00CF74A9">
      <w:pPr>
        <w:jc w:val="center"/>
        <w:rPr>
          <w:b/>
          <w:sz w:val="32"/>
          <w:szCs w:val="32"/>
        </w:rPr>
      </w:pPr>
      <w:r w:rsidRPr="00CF74A9">
        <w:rPr>
          <w:b/>
          <w:sz w:val="32"/>
          <w:szCs w:val="32"/>
        </w:rPr>
        <w:t>LIVESTOCK CRP</w:t>
      </w:r>
    </w:p>
    <w:p w14:paraId="3B926B85" w14:textId="54F64B39" w:rsidR="0088719E" w:rsidRPr="00CF74A9" w:rsidRDefault="00CF74A9" w:rsidP="00CF74A9">
      <w:pPr>
        <w:jc w:val="center"/>
        <w:rPr>
          <w:b/>
          <w:sz w:val="32"/>
          <w:szCs w:val="32"/>
        </w:rPr>
      </w:pPr>
      <w:r w:rsidRPr="00CF74A9">
        <w:rPr>
          <w:b/>
          <w:sz w:val="32"/>
          <w:szCs w:val="32"/>
        </w:rPr>
        <w:t>Proposal for SIF-supported Gender Activities in 2017</w:t>
      </w:r>
    </w:p>
    <w:p w14:paraId="2CA24BE6" w14:textId="77777777" w:rsidR="00CF74A9" w:rsidRDefault="00CF74A9"/>
    <w:p w14:paraId="7B33AC3F" w14:textId="77777777" w:rsidR="00054BA1" w:rsidRDefault="00BE506F">
      <w:r>
        <w:t>As women play a variety of roles within the livestock sector, it is not only important to understand these</w:t>
      </w:r>
      <w:r w:rsidR="00055F28">
        <w:t>,</w:t>
      </w:r>
      <w:r>
        <w:t xml:space="preserve"> but also </w:t>
      </w:r>
      <w:r w:rsidR="00055F28">
        <w:t xml:space="preserve">to identify </w:t>
      </w:r>
      <w:r>
        <w:t xml:space="preserve">opportunities </w:t>
      </w:r>
      <w:r w:rsidR="00563650">
        <w:t>for them</w:t>
      </w:r>
      <w:r w:rsidR="005848F0">
        <w:t xml:space="preserve">, </w:t>
      </w:r>
      <w:r>
        <w:t xml:space="preserve">and </w:t>
      </w:r>
      <w:r w:rsidR="005848F0">
        <w:t xml:space="preserve">to </w:t>
      </w:r>
      <w:r>
        <w:t>engage them in developing a more healthy livestock sector. To</w:t>
      </w:r>
      <w:r w:rsidR="00EE5C9F">
        <w:t xml:space="preserve"> do this adequately, means </w:t>
      </w:r>
      <w:r w:rsidR="00563650">
        <w:t xml:space="preserve">leveraging the work within the different flagships, to </w:t>
      </w:r>
      <w:r>
        <w:t>ensure equitable benefits and responsibilities</w:t>
      </w:r>
      <w:r w:rsidR="00EE5C9F">
        <w:t xml:space="preserve"> for both men and women</w:t>
      </w:r>
      <w:r w:rsidR="00563650">
        <w:t xml:space="preserve">. Equally it requires, undertaking gender specific research to provide ways forward and </w:t>
      </w:r>
      <w:r>
        <w:t xml:space="preserve">conceptualization on gender and gender transformative approaches within </w:t>
      </w:r>
      <w:r w:rsidR="00EE5C9F">
        <w:t xml:space="preserve">the </w:t>
      </w:r>
      <w:r>
        <w:t>livestock</w:t>
      </w:r>
      <w:r w:rsidR="00EE5C9F">
        <w:t xml:space="preserve"> systems</w:t>
      </w:r>
      <w:r>
        <w:t xml:space="preserve">. </w:t>
      </w:r>
    </w:p>
    <w:p w14:paraId="0863F26A" w14:textId="3BCE1D99" w:rsidR="004404EA" w:rsidRDefault="00EE5C9F">
      <w:r>
        <w:t xml:space="preserve">Phase 1 has laid the ground work for this, and now in </w:t>
      </w:r>
      <w:r w:rsidR="00BE506F">
        <w:t>Phase 2</w:t>
      </w:r>
      <w:r w:rsidR="00563650">
        <w:t xml:space="preserve">, based on the various activities and projects, a comprehensive </w:t>
      </w:r>
      <w:r w:rsidR="00780F6E">
        <w:t xml:space="preserve">and coherent approach will be taken, to move the gender agenda to the next step. </w:t>
      </w:r>
      <w:r w:rsidR="000D53DC">
        <w:t xml:space="preserve">As mentioned in the </w:t>
      </w:r>
      <w:r w:rsidR="00780F6E">
        <w:t>CRP</w:t>
      </w:r>
      <w:r w:rsidR="004404EA">
        <w:t>’s</w:t>
      </w:r>
      <w:r w:rsidR="00780F6E">
        <w:t xml:space="preserve"> phase 2 </w:t>
      </w:r>
      <w:r w:rsidR="000D53DC">
        <w:t xml:space="preserve">proposal, </w:t>
      </w:r>
      <w:r w:rsidR="004404EA">
        <w:t>it</w:t>
      </w:r>
      <w:r w:rsidR="000D53DC">
        <w:t xml:space="preserve"> is committed to </w:t>
      </w:r>
      <w:r w:rsidR="00055F28">
        <w:t>gender</w:t>
      </w:r>
      <w:r w:rsidR="000D53DC">
        <w:t xml:space="preserve">, and </w:t>
      </w:r>
      <w:r w:rsidR="004404EA">
        <w:t>therefore proposes the following activities, to boost the gender work and ensure that the momentum gained in phase 1 will be tapped into and continued.</w:t>
      </w:r>
    </w:p>
    <w:p w14:paraId="7D5773FE" w14:textId="77777777" w:rsidR="004404EA" w:rsidRDefault="004404EA">
      <w:r w:rsidRPr="004404EA">
        <w:rPr>
          <w:b/>
        </w:rPr>
        <w:t>Key areas of work</w:t>
      </w:r>
    </w:p>
    <w:p w14:paraId="1F09CCEA" w14:textId="7FEF20A5" w:rsidR="007B360E" w:rsidRDefault="004404EA" w:rsidP="004404EA">
      <w:pPr>
        <w:pStyle w:val="ListParagraph"/>
        <w:numPr>
          <w:ilvl w:val="0"/>
          <w:numId w:val="1"/>
        </w:numPr>
      </w:pPr>
      <w:r w:rsidRPr="004404EA">
        <w:rPr>
          <w:b/>
        </w:rPr>
        <w:t>Strateg</w:t>
      </w:r>
      <w:r w:rsidR="00CF74A9">
        <w:rPr>
          <w:b/>
        </w:rPr>
        <w:t>y</w:t>
      </w:r>
      <w:r w:rsidRPr="004404EA">
        <w:rPr>
          <w:b/>
        </w:rPr>
        <w:t xml:space="preserve"> development:</w:t>
      </w:r>
      <w:r>
        <w:t xml:space="preserve"> A </w:t>
      </w:r>
      <w:r w:rsidR="004307BB">
        <w:t xml:space="preserve">comprehensive and coherent </w:t>
      </w:r>
      <w:r>
        <w:t xml:space="preserve">gender strategy will be developed </w:t>
      </w:r>
      <w:r w:rsidR="007B360E">
        <w:t xml:space="preserve">for the CRP </w:t>
      </w:r>
      <w:r w:rsidR="004307BB">
        <w:t xml:space="preserve">Livestock </w:t>
      </w:r>
      <w:r w:rsidR="000A6018">
        <w:t>to capture the work already done</w:t>
      </w:r>
      <w:r w:rsidR="004307BB">
        <w:t xml:space="preserve"> in the CRP Livestock &amp; Fish</w:t>
      </w:r>
      <w:r w:rsidR="000A6018">
        <w:t>, and to develop</w:t>
      </w:r>
      <w:r w:rsidR="004307BB">
        <w:t xml:space="preserve"> at least</w:t>
      </w:r>
      <w:r w:rsidR="000A6018">
        <w:t xml:space="preserve"> two </w:t>
      </w:r>
      <w:r w:rsidR="007B360E">
        <w:t xml:space="preserve">innovative </w:t>
      </w:r>
      <w:r w:rsidR="000A6018">
        <w:t xml:space="preserve">gender specific research </w:t>
      </w:r>
      <w:r w:rsidR="007B360E">
        <w:t xml:space="preserve">areas </w:t>
      </w:r>
      <w:r w:rsidR="000A6018">
        <w:t xml:space="preserve">which will guide the gender work within the CRP for the next 3 years. This will be done </w:t>
      </w:r>
      <w:r w:rsidR="007B360E">
        <w:t xml:space="preserve">through a series of consultations </w:t>
      </w:r>
      <w:r w:rsidR="000A6018">
        <w:t xml:space="preserve">with </w:t>
      </w:r>
      <w:r w:rsidR="007B360E">
        <w:t>the various gender specialists, flagships leaders, partners and collaborators. Ne</w:t>
      </w:r>
      <w:r w:rsidR="004A08CE">
        <w:t>w</w:t>
      </w:r>
      <w:r w:rsidR="007B360E">
        <w:t xml:space="preserve"> </w:t>
      </w:r>
      <w:r w:rsidR="004A08CE">
        <w:t>activities</w:t>
      </w:r>
      <w:r w:rsidR="007B360E">
        <w:t xml:space="preserve"> will include a scoping </w:t>
      </w:r>
      <w:r w:rsidR="0090156E">
        <w:t xml:space="preserve">and engaging with the </w:t>
      </w:r>
      <w:r w:rsidR="007B360E">
        <w:t>gender and livestock landscape to understand our comparative advantage</w:t>
      </w:r>
      <w:r w:rsidR="0090156E">
        <w:t xml:space="preserve"> so as to build upon it</w:t>
      </w:r>
      <w:r w:rsidR="007B360E">
        <w:t>, and a thinking-outside-the-box workshop to identify innovative to thinking about gender and gender transformative approaches.</w:t>
      </w:r>
      <w:r w:rsidR="004A08CE">
        <w:t xml:space="preserve"> A concerted effort will also be made to develop a funding strategy and explore options for gender specific proposals.</w:t>
      </w:r>
    </w:p>
    <w:p w14:paraId="61E73AD2" w14:textId="1424BB9A" w:rsidR="00F730B7" w:rsidRDefault="0090156E" w:rsidP="004404EA">
      <w:pPr>
        <w:pStyle w:val="ListParagraph"/>
        <w:numPr>
          <w:ilvl w:val="0"/>
          <w:numId w:val="1"/>
        </w:numPr>
      </w:pPr>
      <w:r>
        <w:rPr>
          <w:b/>
        </w:rPr>
        <w:t xml:space="preserve">Support for the development of gender strategies </w:t>
      </w:r>
      <w:r w:rsidR="002123C4">
        <w:rPr>
          <w:b/>
        </w:rPr>
        <w:t xml:space="preserve">and gender activities </w:t>
      </w:r>
      <w:r>
        <w:rPr>
          <w:b/>
        </w:rPr>
        <w:t xml:space="preserve">at flagship level: </w:t>
      </w:r>
      <w:r w:rsidR="00BC0D80" w:rsidRPr="00BC0D80">
        <w:t>Phase</w:t>
      </w:r>
      <w:r w:rsidR="00BC0D80">
        <w:rPr>
          <w:b/>
        </w:rPr>
        <w:t xml:space="preserve"> </w:t>
      </w:r>
      <w:r w:rsidR="00BC0D80">
        <w:t>1 provided the opportunity to explore the various gender issues in the flagships and the thematic areas covered by the flagships. Based on these experience</w:t>
      </w:r>
      <w:r w:rsidR="00F730B7">
        <w:t>s</w:t>
      </w:r>
      <w:r w:rsidR="00BC0D80">
        <w:t xml:space="preserve"> we can now develop very gender specific research questions </w:t>
      </w:r>
      <w:r w:rsidR="00F730B7">
        <w:t xml:space="preserve">for each flagship </w:t>
      </w:r>
      <w:r w:rsidR="00BC0D80">
        <w:t xml:space="preserve">to guide the work. </w:t>
      </w:r>
      <w:r w:rsidR="00F730B7">
        <w:t xml:space="preserve">This will be housed in a short gender strategy for each flagship, which will include a resource strategy. These strategies </w:t>
      </w:r>
      <w:r w:rsidR="002123C4">
        <w:t>will also identify areas and gender specific activities to be implemente</w:t>
      </w:r>
      <w:r w:rsidR="005E601E">
        <w:t>d by mid-year and will initiate them</w:t>
      </w:r>
      <w:r w:rsidR="00F730B7">
        <w:t xml:space="preserve">. </w:t>
      </w:r>
    </w:p>
    <w:p w14:paraId="7463AAAC" w14:textId="0870ECF0" w:rsidR="002123C4" w:rsidRPr="002123C4" w:rsidRDefault="002123C4" w:rsidP="004404EA">
      <w:pPr>
        <w:pStyle w:val="ListParagraph"/>
        <w:numPr>
          <w:ilvl w:val="0"/>
          <w:numId w:val="1"/>
        </w:numPr>
        <w:rPr>
          <w:b/>
        </w:rPr>
      </w:pPr>
      <w:r w:rsidRPr="002123C4">
        <w:rPr>
          <w:b/>
        </w:rPr>
        <w:t>Coun</w:t>
      </w:r>
      <w:r>
        <w:rPr>
          <w:b/>
        </w:rPr>
        <w:t xml:space="preserve">try level gender engagement: </w:t>
      </w:r>
      <w:r>
        <w:t xml:space="preserve">To move the gender agenda forward in each of the CRP countries, there will be an assessment to identify opportunities and specific partners to work with. This is important as gender is based in a cultural context so developing a flock of the willing will help. It will also be a means of supporting and informing the team in country and also future proposals. </w:t>
      </w:r>
    </w:p>
    <w:p w14:paraId="7EC8682C" w14:textId="13C451FB" w:rsidR="00055F28" w:rsidRDefault="004A08CE" w:rsidP="00F73B85">
      <w:pPr>
        <w:pStyle w:val="ListParagraph"/>
        <w:numPr>
          <w:ilvl w:val="0"/>
          <w:numId w:val="1"/>
        </w:numPr>
      </w:pPr>
      <w:r>
        <w:rPr>
          <w:b/>
        </w:rPr>
        <w:t>Gender mainstreaming within the CRP:</w:t>
      </w:r>
      <w:r>
        <w:t xml:space="preserve"> Another major thrust will be overall support to the </w:t>
      </w:r>
      <w:r w:rsidR="00CA2594">
        <w:t>CRP and its partners on gender.</w:t>
      </w:r>
      <w:r>
        <w:t xml:space="preserve"> </w:t>
      </w:r>
      <w:r w:rsidR="005E601E">
        <w:t xml:space="preserve">A lot has been done in the </w:t>
      </w:r>
      <w:r w:rsidR="004307BB">
        <w:t>Livestock &amp; Fish CRP</w:t>
      </w:r>
      <w:r w:rsidR="005E601E">
        <w:t xml:space="preserve">, important will be to harvest </w:t>
      </w:r>
      <w:r w:rsidR="005E601E">
        <w:lastRenderedPageBreak/>
        <w:t xml:space="preserve">that and take it to the next level. </w:t>
      </w:r>
      <w:r>
        <w:t xml:space="preserve">This includes providing coaching </w:t>
      </w:r>
      <w:r w:rsidR="00CA2594">
        <w:t xml:space="preserve">to individual projects and scientists, continued support to </w:t>
      </w:r>
      <w:r w:rsidR="00F73B85">
        <w:t>the gender fellows, development of systems to integrate</w:t>
      </w:r>
      <w:r w:rsidR="00CA2594">
        <w:t xml:space="preserve"> gender within proposals adequately and intelligently, gender assessments and trainings for partners</w:t>
      </w:r>
      <w:r w:rsidR="00F73B85">
        <w:t>, and any other requirements</w:t>
      </w:r>
      <w:r w:rsidR="00CA2594">
        <w:t xml:space="preserve">. A specific set of funding will be dedicated to </w:t>
      </w:r>
      <w:r w:rsidR="00F73B85">
        <w:t xml:space="preserve">aid </w:t>
      </w:r>
      <w:r w:rsidR="00CA2594">
        <w:t xml:space="preserve">gender specific activities within the flagships, the process for this will need to be determined in consultation with flagship leaders, with as </w:t>
      </w:r>
      <w:r w:rsidR="00F73B85">
        <w:t xml:space="preserve">aim to provide opportunities to strengthen the research, by </w:t>
      </w:r>
      <w:r w:rsidR="005E601E">
        <w:t xml:space="preserve">either </w:t>
      </w:r>
      <w:r w:rsidR="00F73B85">
        <w:t>providing resources for a specific piece of research</w:t>
      </w:r>
      <w:r w:rsidR="005E601E" w:rsidRPr="005E601E">
        <w:t xml:space="preserve"> </w:t>
      </w:r>
      <w:r w:rsidR="005E601E">
        <w:t>or by supplementing research already being done</w:t>
      </w:r>
      <w:r w:rsidR="00F73B85">
        <w:t xml:space="preserve">. </w:t>
      </w:r>
    </w:p>
    <w:p w14:paraId="429A6A6A" w14:textId="2CE9D093" w:rsidR="008C2E67" w:rsidRDefault="008C2E67" w:rsidP="00F73B85">
      <w:pPr>
        <w:pStyle w:val="ListParagraph"/>
        <w:numPr>
          <w:ilvl w:val="0"/>
          <w:numId w:val="1"/>
        </w:numPr>
      </w:pPr>
      <w:r>
        <w:rPr>
          <w:b/>
        </w:rPr>
        <w:t xml:space="preserve">Gender and livestock on the global stage: </w:t>
      </w:r>
      <w:r>
        <w:t>With the SDGs framing the future of development, it is an opportune time to link live</w:t>
      </w:r>
      <w:r w:rsidR="00543C2C">
        <w:t>stock development with SDG 5</w:t>
      </w:r>
      <w:r>
        <w:t xml:space="preserve"> gender equality. Work under this will mean developing evidence based discussions on the how livestock can and can’t contribute to gender equality. As important will be identifying practical options for countries to ensure they can reach SDG 5, i.e. what </w:t>
      </w:r>
      <w:r w:rsidR="00543C2C">
        <w:t xml:space="preserve">are some things that governments can </w:t>
      </w:r>
      <w:r>
        <w:t>do to help them reach SDG 5</w:t>
      </w:r>
      <w:r w:rsidR="00543C2C">
        <w:t>, and similar can we contribute to the discussion of metrics and indicators</w:t>
      </w:r>
      <w:r>
        <w:t>.</w:t>
      </w:r>
    </w:p>
    <w:p w14:paraId="5DDEB224" w14:textId="6D89BD5B" w:rsidR="008C2E67" w:rsidRDefault="008C2E67" w:rsidP="00F73B85">
      <w:pPr>
        <w:pStyle w:val="ListParagraph"/>
        <w:numPr>
          <w:ilvl w:val="0"/>
          <w:numId w:val="1"/>
        </w:numPr>
      </w:pPr>
      <w:r>
        <w:rPr>
          <w:b/>
        </w:rPr>
        <w:t>Sustainable funding for gender and livestock:</w:t>
      </w:r>
      <w:r>
        <w:t xml:space="preserve"> </w:t>
      </w:r>
      <w:r w:rsidR="00177ACF">
        <w:t xml:space="preserve">A push will be made to develop a funding strategy on gender through engagement with the CRP </w:t>
      </w:r>
      <w:r w:rsidR="004307BB">
        <w:t>partners</w:t>
      </w:r>
      <w:r w:rsidR="00543C2C">
        <w:t xml:space="preserve">; </w:t>
      </w:r>
      <w:r w:rsidR="00177ACF">
        <w:t>their business development units</w:t>
      </w:r>
      <w:r w:rsidR="00543C2C">
        <w:t>;</w:t>
      </w:r>
      <w:r w:rsidR="00177ACF">
        <w:t xml:space="preserve"> engaging with donors and the gender platform to identify opportunities for funding.</w:t>
      </w:r>
      <w:r>
        <w:t xml:space="preserve"> </w:t>
      </w:r>
    </w:p>
    <w:p w14:paraId="695150AD" w14:textId="77777777" w:rsidR="00F73B85" w:rsidRDefault="00F73B85" w:rsidP="00F73B85">
      <w:pPr>
        <w:rPr>
          <w:b/>
        </w:rPr>
      </w:pPr>
      <w:r w:rsidRPr="00F73B85">
        <w:rPr>
          <w:b/>
        </w:rPr>
        <w:t>Outputs</w:t>
      </w:r>
    </w:p>
    <w:p w14:paraId="6F90DDE1" w14:textId="24063B3E" w:rsidR="00F73B85" w:rsidRDefault="00F73B85" w:rsidP="00F73B85">
      <w:pPr>
        <w:pStyle w:val="ListParagraph"/>
        <w:numPr>
          <w:ilvl w:val="0"/>
          <w:numId w:val="2"/>
        </w:numPr>
      </w:pPr>
      <w:r w:rsidRPr="00F73B85">
        <w:t xml:space="preserve">A revised </w:t>
      </w:r>
      <w:r w:rsidR="00263634">
        <w:t xml:space="preserve">overall </w:t>
      </w:r>
      <w:r>
        <w:t>gender strategy for the CRP, including a series of innovative research areas and a funding strategy</w:t>
      </w:r>
      <w:r w:rsidR="00263634">
        <w:t>, including research questions for each flagship</w:t>
      </w:r>
    </w:p>
    <w:p w14:paraId="239CE332" w14:textId="21D1B564" w:rsidR="00F73B85" w:rsidRDefault="00F73B85" w:rsidP="00F73B85">
      <w:pPr>
        <w:pStyle w:val="ListParagraph"/>
        <w:numPr>
          <w:ilvl w:val="0"/>
          <w:numId w:val="2"/>
        </w:numPr>
      </w:pPr>
      <w:r>
        <w:t xml:space="preserve">A coherent and realistic gender </w:t>
      </w:r>
      <w:r w:rsidR="00263634">
        <w:t xml:space="preserve">implementation plan </w:t>
      </w:r>
      <w:r>
        <w:t>for each of the flagships, guided by the gender issues within each technical theme.</w:t>
      </w:r>
    </w:p>
    <w:p w14:paraId="636727D7" w14:textId="34F9F61E" w:rsidR="002123C4" w:rsidRDefault="002123C4" w:rsidP="00F73B85">
      <w:pPr>
        <w:pStyle w:val="ListParagraph"/>
        <w:numPr>
          <w:ilvl w:val="0"/>
          <w:numId w:val="2"/>
        </w:numPr>
      </w:pPr>
      <w:r>
        <w:t>A country level gender identification and implementation of different activities</w:t>
      </w:r>
    </w:p>
    <w:p w14:paraId="54C4C2B7" w14:textId="7FAF7023" w:rsidR="00F73B85" w:rsidRDefault="00BC4B39" w:rsidP="00F73B85">
      <w:pPr>
        <w:pStyle w:val="ListParagraph"/>
        <w:numPr>
          <w:ilvl w:val="0"/>
          <w:numId w:val="2"/>
        </w:numPr>
      </w:pPr>
      <w:r>
        <w:t xml:space="preserve">One paper per post-doc </w:t>
      </w:r>
      <w:r w:rsidR="00263634">
        <w:t xml:space="preserve">supported by the CGIAR systems office </w:t>
      </w:r>
      <w:r>
        <w:t>highlighting the work they have done</w:t>
      </w:r>
      <w:r w:rsidR="00263634">
        <w:t>, and at least 2 other papers from gender staff linked to the CRP</w:t>
      </w:r>
    </w:p>
    <w:p w14:paraId="1B6EC03F" w14:textId="04DBF0E0" w:rsidR="00BC4B39" w:rsidRDefault="00BC4B39" w:rsidP="00F73B85">
      <w:pPr>
        <w:pStyle w:val="ListParagraph"/>
        <w:numPr>
          <w:ilvl w:val="0"/>
          <w:numId w:val="2"/>
        </w:numPr>
      </w:pPr>
      <w:r>
        <w:t xml:space="preserve">A set of reports and (possibly) articles </w:t>
      </w:r>
      <w:r w:rsidR="002123C4">
        <w:t xml:space="preserve">based on gender specific research done </w:t>
      </w:r>
      <w:r>
        <w:t xml:space="preserve">in the flagships </w:t>
      </w:r>
    </w:p>
    <w:p w14:paraId="57BA6C9D" w14:textId="77777777" w:rsidR="00CA2DBE" w:rsidRDefault="00CA2DBE" w:rsidP="00CA2DBE"/>
    <w:p w14:paraId="352BBEDB" w14:textId="3B7BA9D7" w:rsidR="00CA2DBE" w:rsidRDefault="00CA2DBE" w:rsidP="00CA2DBE">
      <w:pPr>
        <w:rPr>
          <w:b/>
        </w:rPr>
      </w:pPr>
      <w:r w:rsidRPr="00CA2DBE">
        <w:rPr>
          <w:b/>
        </w:rPr>
        <w:t>Annex</w:t>
      </w:r>
      <w:r>
        <w:rPr>
          <w:b/>
        </w:rPr>
        <w:t xml:space="preserve"> Budget:</w:t>
      </w:r>
    </w:p>
    <w:p w14:paraId="1BC9C020" w14:textId="5B29BC6A" w:rsidR="00445748" w:rsidRDefault="002460A7" w:rsidP="002460A7">
      <w:r>
        <w:t xml:space="preserve">Gender </w:t>
      </w:r>
      <w:r w:rsidR="00445748">
        <w:t>mainstream</w:t>
      </w:r>
      <w:r w:rsidR="0054606A">
        <w:t>ing</w:t>
      </w:r>
      <w:r w:rsidR="004615A4">
        <w:t>: $</w:t>
      </w:r>
      <w:r w:rsidR="00CF74A9">
        <w:t>31</w:t>
      </w:r>
      <w:r w:rsidR="002B79FF">
        <w:t>3</w:t>
      </w:r>
      <w:r w:rsidR="004615A4">
        <w:t>k</w:t>
      </w:r>
    </w:p>
    <w:tbl>
      <w:tblPr>
        <w:tblStyle w:val="TableGrid"/>
        <w:tblW w:w="0" w:type="auto"/>
        <w:tblLook w:val="04A0" w:firstRow="1" w:lastRow="0" w:firstColumn="1" w:lastColumn="0" w:noHBand="0" w:noVBand="1"/>
      </w:tblPr>
      <w:tblGrid>
        <w:gridCol w:w="2268"/>
        <w:gridCol w:w="3780"/>
        <w:gridCol w:w="1980"/>
      </w:tblGrid>
      <w:tr w:rsidR="00197905" w:rsidRPr="00197905" w14:paraId="50B2E863" w14:textId="77777777" w:rsidTr="004615A4">
        <w:trPr>
          <w:trHeight w:val="300"/>
        </w:trPr>
        <w:tc>
          <w:tcPr>
            <w:tcW w:w="2268" w:type="dxa"/>
            <w:noWrap/>
            <w:hideMark/>
          </w:tcPr>
          <w:p w14:paraId="68B6A897" w14:textId="62A80957" w:rsidR="00197905" w:rsidRPr="00197905" w:rsidRDefault="009552C0">
            <w:r>
              <w:t xml:space="preserve"> </w:t>
            </w:r>
          </w:p>
        </w:tc>
        <w:tc>
          <w:tcPr>
            <w:tcW w:w="3780" w:type="dxa"/>
            <w:noWrap/>
            <w:hideMark/>
          </w:tcPr>
          <w:p w14:paraId="426E8B16" w14:textId="228A7DF1" w:rsidR="00197905" w:rsidRPr="00197905" w:rsidRDefault="00197905">
            <w:r>
              <w:t>Activity</w:t>
            </w:r>
          </w:p>
        </w:tc>
        <w:tc>
          <w:tcPr>
            <w:tcW w:w="1980" w:type="dxa"/>
            <w:noWrap/>
            <w:hideMark/>
          </w:tcPr>
          <w:p w14:paraId="25DAA9DA" w14:textId="43DFBFF4" w:rsidR="00197905" w:rsidRPr="00197905" w:rsidRDefault="00197905" w:rsidP="004615A4">
            <w:pPr>
              <w:jc w:val="right"/>
            </w:pPr>
          </w:p>
        </w:tc>
      </w:tr>
      <w:tr w:rsidR="00197905" w:rsidRPr="00197905" w14:paraId="0A5F5CCD" w14:textId="77777777" w:rsidTr="004615A4">
        <w:trPr>
          <w:trHeight w:val="300"/>
        </w:trPr>
        <w:tc>
          <w:tcPr>
            <w:tcW w:w="2268" w:type="dxa"/>
            <w:noWrap/>
            <w:hideMark/>
          </w:tcPr>
          <w:p w14:paraId="7A89EFC9" w14:textId="23C12621" w:rsidR="00197905" w:rsidRPr="00197905" w:rsidRDefault="00A57D1A">
            <w:r>
              <w:t>Innovation call</w:t>
            </w:r>
          </w:p>
        </w:tc>
        <w:tc>
          <w:tcPr>
            <w:tcW w:w="3780" w:type="dxa"/>
            <w:noWrap/>
            <w:hideMark/>
          </w:tcPr>
          <w:p w14:paraId="61BDF0B7" w14:textId="77777777" w:rsidR="00197905" w:rsidRDefault="00A57D1A" w:rsidP="00A57D1A">
            <w:r>
              <w:t>Staggered competitive call for innovative research on gender in l</w:t>
            </w:r>
            <w:r w:rsidR="005E601E">
              <w:t>ivestock informed by strategies:</w:t>
            </w:r>
          </w:p>
          <w:p w14:paraId="1F80C973" w14:textId="77777777" w:rsidR="002B79FF" w:rsidRDefault="002B79FF" w:rsidP="002B79FF">
            <w:pPr>
              <w:pStyle w:val="ListParagraph"/>
              <w:numPr>
                <w:ilvl w:val="0"/>
                <w:numId w:val="8"/>
              </w:numPr>
            </w:pPr>
            <w:r>
              <w:t>A set will be dedicated to gender led research projects</w:t>
            </w:r>
          </w:p>
          <w:p w14:paraId="18C0D959" w14:textId="7F4DDB8E" w:rsidR="005E601E" w:rsidRPr="00197905" w:rsidRDefault="002B79FF" w:rsidP="002B79FF">
            <w:pPr>
              <w:pStyle w:val="ListParagraph"/>
              <w:numPr>
                <w:ilvl w:val="0"/>
                <w:numId w:val="8"/>
              </w:numPr>
            </w:pPr>
            <w:r>
              <w:t>A set dedicated by non-gender led</w:t>
            </w:r>
          </w:p>
        </w:tc>
        <w:tc>
          <w:tcPr>
            <w:tcW w:w="1980" w:type="dxa"/>
            <w:noWrap/>
            <w:hideMark/>
          </w:tcPr>
          <w:p w14:paraId="395EF164" w14:textId="60C0C777" w:rsidR="00197905" w:rsidRPr="00197905" w:rsidRDefault="00CF74A9" w:rsidP="005E601E">
            <w:pPr>
              <w:jc w:val="right"/>
            </w:pPr>
            <w:r>
              <w:t>20</w:t>
            </w:r>
            <w:r w:rsidR="00A57D1A">
              <w:t>0,000</w:t>
            </w:r>
          </w:p>
        </w:tc>
      </w:tr>
      <w:tr w:rsidR="00197905" w:rsidRPr="00197905" w14:paraId="48930F70" w14:textId="77777777" w:rsidTr="004615A4">
        <w:trPr>
          <w:trHeight w:val="300"/>
        </w:trPr>
        <w:tc>
          <w:tcPr>
            <w:tcW w:w="2268" w:type="dxa"/>
            <w:noWrap/>
            <w:hideMark/>
          </w:tcPr>
          <w:p w14:paraId="0777E54A" w14:textId="61BBF6EC" w:rsidR="00197905" w:rsidRPr="00197905" w:rsidRDefault="002B79FF" w:rsidP="002B79FF">
            <w:r>
              <w:t>Flagship (non) g</w:t>
            </w:r>
            <w:r w:rsidR="00A57D1A">
              <w:t>ender fellows and flagships</w:t>
            </w:r>
            <w:r>
              <w:t xml:space="preserve"> overall</w:t>
            </w:r>
          </w:p>
        </w:tc>
        <w:tc>
          <w:tcPr>
            <w:tcW w:w="3780" w:type="dxa"/>
            <w:noWrap/>
            <w:hideMark/>
          </w:tcPr>
          <w:p w14:paraId="1DA3FFEE" w14:textId="2EF1E0BB" w:rsidR="00197905" w:rsidRPr="00197905" w:rsidRDefault="00A57D1A">
            <w:r>
              <w:t xml:space="preserve">Support to flagship gender projects/researchers – ability to tap into when needed, in line with strategy </w:t>
            </w:r>
            <w:r>
              <w:lastRenderedPageBreak/>
              <w:t>(staff time, workshop, publications, data analysis)</w:t>
            </w:r>
          </w:p>
        </w:tc>
        <w:tc>
          <w:tcPr>
            <w:tcW w:w="1980" w:type="dxa"/>
            <w:noWrap/>
            <w:hideMark/>
          </w:tcPr>
          <w:p w14:paraId="379E2235" w14:textId="36C4F906" w:rsidR="00197905" w:rsidRPr="00197905" w:rsidRDefault="005E601E" w:rsidP="004615A4">
            <w:pPr>
              <w:jc w:val="right"/>
            </w:pPr>
            <w:r>
              <w:lastRenderedPageBreak/>
              <w:t>8</w:t>
            </w:r>
            <w:r w:rsidR="00A57D1A">
              <w:t>0,000</w:t>
            </w:r>
          </w:p>
        </w:tc>
      </w:tr>
      <w:tr w:rsidR="00197905" w:rsidRPr="00197905" w14:paraId="07CF1DA8" w14:textId="77777777" w:rsidTr="004615A4">
        <w:trPr>
          <w:trHeight w:val="300"/>
        </w:trPr>
        <w:tc>
          <w:tcPr>
            <w:tcW w:w="2268" w:type="dxa"/>
            <w:noWrap/>
            <w:hideMark/>
          </w:tcPr>
          <w:p w14:paraId="4CC420C4" w14:textId="27DBF249" w:rsidR="00197905" w:rsidRPr="00197905" w:rsidRDefault="00197905">
            <w:r w:rsidRPr="00197905">
              <w:t> </w:t>
            </w:r>
            <w:r w:rsidR="006E0BDF">
              <w:t>Global forum to profile/leverage</w:t>
            </w:r>
          </w:p>
        </w:tc>
        <w:tc>
          <w:tcPr>
            <w:tcW w:w="3780" w:type="dxa"/>
            <w:noWrap/>
            <w:hideMark/>
          </w:tcPr>
          <w:p w14:paraId="1B29DA52" w14:textId="3BEAA2FA" w:rsidR="00197905" w:rsidRPr="00197905" w:rsidRDefault="006E0BDF">
            <w:r>
              <w:t>Build an evidence base on gender in livestock and support to SDG 5 (data gathering, analysis, participation, and documentation)</w:t>
            </w:r>
          </w:p>
        </w:tc>
        <w:tc>
          <w:tcPr>
            <w:tcW w:w="1980" w:type="dxa"/>
            <w:noWrap/>
            <w:hideMark/>
          </w:tcPr>
          <w:p w14:paraId="2FA92A79" w14:textId="337B1D19" w:rsidR="00197905" w:rsidRPr="00197905" w:rsidRDefault="00197905" w:rsidP="004615A4">
            <w:pPr>
              <w:jc w:val="right"/>
            </w:pPr>
            <w:r w:rsidRPr="00197905">
              <w:t> </w:t>
            </w:r>
            <w:r w:rsidR="006E0BDF">
              <w:t>20,000</w:t>
            </w:r>
          </w:p>
        </w:tc>
      </w:tr>
      <w:tr w:rsidR="00197905" w:rsidRPr="00197905" w14:paraId="0659ECF3" w14:textId="77777777" w:rsidTr="004615A4">
        <w:trPr>
          <w:trHeight w:val="300"/>
        </w:trPr>
        <w:tc>
          <w:tcPr>
            <w:tcW w:w="2268" w:type="dxa"/>
            <w:noWrap/>
            <w:hideMark/>
          </w:tcPr>
          <w:p w14:paraId="2FB16443" w14:textId="15181E7A" w:rsidR="00197905" w:rsidRPr="00197905" w:rsidRDefault="00197905">
            <w:r w:rsidRPr="00197905">
              <w:t> </w:t>
            </w:r>
            <w:r w:rsidR="006E0BDF">
              <w:t>Communications and resource mobilization</w:t>
            </w:r>
          </w:p>
        </w:tc>
        <w:tc>
          <w:tcPr>
            <w:tcW w:w="3780" w:type="dxa"/>
            <w:noWrap/>
            <w:hideMark/>
          </w:tcPr>
          <w:p w14:paraId="43603AF4" w14:textId="689F912F" w:rsidR="00197905" w:rsidRPr="00197905" w:rsidRDefault="004615A4">
            <w:r>
              <w:t xml:space="preserve">Support to developing a communications strategy for gender in livestock </w:t>
            </w:r>
          </w:p>
        </w:tc>
        <w:tc>
          <w:tcPr>
            <w:tcW w:w="1980" w:type="dxa"/>
            <w:noWrap/>
            <w:hideMark/>
          </w:tcPr>
          <w:p w14:paraId="5DC26999" w14:textId="4C91B74D" w:rsidR="00197905" w:rsidRPr="00197905" w:rsidRDefault="00197905" w:rsidP="004615A4">
            <w:pPr>
              <w:jc w:val="right"/>
            </w:pPr>
            <w:r w:rsidRPr="00197905">
              <w:t> </w:t>
            </w:r>
            <w:r w:rsidR="004615A4">
              <w:t>13,000</w:t>
            </w:r>
          </w:p>
        </w:tc>
      </w:tr>
    </w:tbl>
    <w:p w14:paraId="02FCB233" w14:textId="77777777" w:rsidR="002B79FF" w:rsidRDefault="006C3643" w:rsidP="002B79FF">
      <w:r>
        <w:t xml:space="preserve"> </w:t>
      </w:r>
    </w:p>
    <w:p w14:paraId="3F1F3D4C" w14:textId="334D08AC" w:rsidR="002B79FF" w:rsidRDefault="002B79FF" w:rsidP="002B79FF">
      <w:r>
        <w:t xml:space="preserve">Maintaining support to the flagships: </w:t>
      </w:r>
    </w:p>
    <w:p w14:paraId="2C7F4FF9" w14:textId="6DC5926E" w:rsidR="002B79FF" w:rsidRDefault="002B79FF" w:rsidP="002B79FF">
      <w:r>
        <w:t xml:space="preserve">Support to </w:t>
      </w:r>
      <w:r w:rsidR="005E5EE8">
        <w:t xml:space="preserve">the </w:t>
      </w:r>
      <w:r>
        <w:t>CRP and flagships to ensure the develop</w:t>
      </w:r>
      <w:r w:rsidR="005E5EE8">
        <w:t>ment</w:t>
      </w:r>
      <w:r>
        <w:t xml:space="preserve"> and support </w:t>
      </w:r>
      <w:r w:rsidR="005E5EE8">
        <w:t xml:space="preserve">of </w:t>
      </w:r>
      <w:r>
        <w:t xml:space="preserve">the overall and </w:t>
      </w:r>
      <w:r w:rsidR="005E5EE8">
        <w:t xml:space="preserve">the </w:t>
      </w:r>
      <w:r>
        <w:t>flagship specific gender strategies, identify opportunities to influence research prioritization of the flagship</w:t>
      </w:r>
      <w:r w:rsidR="005E5EE8">
        <w:t xml:space="preserve">, and help do gender specific and integrated research. The post docs supported under the </w:t>
      </w:r>
      <w:bookmarkStart w:id="0" w:name="_GoBack"/>
      <w:bookmarkEnd w:id="0"/>
      <w:r w:rsidR="005E5EE8">
        <w:t xml:space="preserve">gender SIF funds are mainly being funded by the System Office, and support from this fund is to ensure they </w:t>
      </w:r>
      <w:r w:rsidR="005E5EE8" w:rsidRPr="005E5EE8">
        <w:t>contribute to the CRP and its gender capacity</w:t>
      </w:r>
      <w:r w:rsidR="005E5EE8">
        <w:t>. Birhanu Lenjiso is under the forages flagship and Juliet under the genetics flagship.</w:t>
      </w:r>
    </w:p>
    <w:p w14:paraId="2B2BD940" w14:textId="77777777" w:rsidR="002B79FF" w:rsidRDefault="002B79FF" w:rsidP="002B79FF">
      <w:pPr>
        <w:pStyle w:val="ListParagraph"/>
        <w:numPr>
          <w:ilvl w:val="1"/>
          <w:numId w:val="6"/>
        </w:numPr>
      </w:pPr>
      <w:r>
        <w:t>Birhanu to overall issues of access to resources (specifically feed, but also looking at the different trade-offs between feed/animal health/environment)</w:t>
      </w:r>
    </w:p>
    <w:p w14:paraId="4C3A4544" w14:textId="77777777" w:rsidR="002B79FF" w:rsidRDefault="002B79FF" w:rsidP="002B79FF">
      <w:pPr>
        <w:pStyle w:val="ListParagraph"/>
        <w:numPr>
          <w:ilvl w:val="1"/>
          <w:numId w:val="6"/>
        </w:numPr>
      </w:pPr>
      <w:r>
        <w:t>Katie on climate change, with a specific interest on gender, livestock and adaptation</w:t>
      </w:r>
    </w:p>
    <w:p w14:paraId="72801372" w14:textId="77777777" w:rsidR="002B79FF" w:rsidRDefault="002B79FF" w:rsidP="002B79FF">
      <w:pPr>
        <w:pStyle w:val="ListParagraph"/>
        <w:numPr>
          <w:ilvl w:val="1"/>
          <w:numId w:val="6"/>
        </w:numPr>
      </w:pPr>
      <w:r>
        <w:t>Juliet Kariuki on genetics</w:t>
      </w:r>
    </w:p>
    <w:p w14:paraId="36770323" w14:textId="77777777" w:rsidR="002B79FF" w:rsidRDefault="002B79FF" w:rsidP="002B79FF">
      <w:pPr>
        <w:pStyle w:val="ListParagraph"/>
        <w:numPr>
          <w:ilvl w:val="1"/>
          <w:numId w:val="6"/>
        </w:numPr>
      </w:pPr>
      <w:r>
        <w:t>Wendy on sustainable intensification/ environment</w:t>
      </w:r>
    </w:p>
    <w:p w14:paraId="0EC01FF9" w14:textId="77777777" w:rsidR="002B79FF" w:rsidRDefault="002B79FF" w:rsidP="002B79FF">
      <w:pPr>
        <w:pStyle w:val="ListParagraph"/>
        <w:numPr>
          <w:ilvl w:val="1"/>
          <w:numId w:val="6"/>
        </w:numPr>
      </w:pPr>
      <w:r>
        <w:t>Wole on animal health and genetics</w:t>
      </w:r>
    </w:p>
    <w:p w14:paraId="7B974727" w14:textId="77777777" w:rsidR="002B79FF" w:rsidRDefault="002B79FF" w:rsidP="002B79FF">
      <w:pPr>
        <w:pStyle w:val="ListParagraph"/>
        <w:numPr>
          <w:ilvl w:val="1"/>
          <w:numId w:val="6"/>
        </w:numPr>
      </w:pPr>
      <w:r>
        <w:t xml:space="preserve">Nicoline to provide overall support and management of the process. </w:t>
      </w:r>
    </w:p>
    <w:tbl>
      <w:tblPr>
        <w:tblW w:w="6025" w:type="dxa"/>
        <w:tblCellMar>
          <w:left w:w="0" w:type="dxa"/>
          <w:right w:w="0" w:type="dxa"/>
        </w:tblCellMar>
        <w:tblLook w:val="04A0" w:firstRow="1" w:lastRow="0" w:firstColumn="1" w:lastColumn="0" w:noHBand="0" w:noVBand="1"/>
      </w:tblPr>
      <w:tblGrid>
        <w:gridCol w:w="2436"/>
        <w:gridCol w:w="1992"/>
        <w:gridCol w:w="247"/>
        <w:gridCol w:w="1350"/>
      </w:tblGrid>
      <w:tr w:rsidR="002B79FF" w:rsidRPr="00986025" w14:paraId="10BA86F4" w14:textId="77777777" w:rsidTr="002B79FF">
        <w:trPr>
          <w:trHeight w:val="178"/>
        </w:trPr>
        <w:tc>
          <w:tcPr>
            <w:tcW w:w="2436" w:type="dxa"/>
            <w:tcBorders>
              <w:top w:val="single" w:sz="8" w:space="0" w:color="auto"/>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7591B01B" w14:textId="77777777" w:rsidR="002B79FF" w:rsidRPr="0054606A" w:rsidRDefault="002B79FF" w:rsidP="00C7266E">
            <w:pPr>
              <w:spacing w:line="178" w:lineRule="atLeast"/>
              <w:rPr>
                <w:rFonts w:ascii="Calibri" w:hAnsi="Calibri" w:cs="Calibri"/>
                <w:sz w:val="18"/>
              </w:rPr>
            </w:pPr>
            <w:r w:rsidRPr="0054606A">
              <w:rPr>
                <w:rFonts w:ascii="Arial" w:hAnsi="Arial" w:cs="Arial"/>
                <w:bCs/>
                <w:color w:val="000000"/>
                <w:sz w:val="18"/>
              </w:rPr>
              <w:t>Contributor</w:t>
            </w:r>
          </w:p>
        </w:tc>
        <w:tc>
          <w:tcPr>
            <w:tcW w:w="1992" w:type="dxa"/>
            <w:tcBorders>
              <w:top w:val="single" w:sz="8" w:space="0" w:color="auto"/>
              <w:left w:val="nil"/>
              <w:bottom w:val="single" w:sz="8" w:space="0" w:color="auto"/>
              <w:right w:val="single" w:sz="4" w:space="0" w:color="auto"/>
            </w:tcBorders>
            <w:shd w:val="clear" w:color="auto" w:fill="FFFFFF" w:themeFill="background1"/>
            <w:tcMar>
              <w:top w:w="0" w:type="dxa"/>
              <w:left w:w="108" w:type="dxa"/>
              <w:bottom w:w="0" w:type="dxa"/>
              <w:right w:w="108" w:type="dxa"/>
            </w:tcMar>
            <w:hideMark/>
          </w:tcPr>
          <w:p w14:paraId="711DEF45" w14:textId="77777777" w:rsidR="002B79FF" w:rsidRPr="0054606A" w:rsidRDefault="002B79FF" w:rsidP="00C7266E">
            <w:pPr>
              <w:spacing w:line="178" w:lineRule="atLeast"/>
              <w:jc w:val="center"/>
              <w:rPr>
                <w:rFonts w:ascii="Calibri" w:hAnsi="Calibri" w:cs="Calibri"/>
                <w:sz w:val="18"/>
              </w:rPr>
            </w:pPr>
            <w:r w:rsidRPr="0054606A">
              <w:rPr>
                <w:rFonts w:ascii="Arial" w:hAnsi="Arial" w:cs="Arial"/>
                <w:bCs/>
                <w:color w:val="000000"/>
                <w:sz w:val="18"/>
              </w:rPr>
              <w:t>% staff time</w:t>
            </w:r>
          </w:p>
        </w:tc>
        <w:tc>
          <w:tcPr>
            <w:tcW w:w="247" w:type="dxa"/>
            <w:tcBorders>
              <w:top w:val="single" w:sz="8" w:space="0" w:color="auto"/>
              <w:left w:val="single" w:sz="4" w:space="0" w:color="auto"/>
              <w:bottom w:val="single" w:sz="8" w:space="0" w:color="auto"/>
              <w:right w:val="single" w:sz="8" w:space="0" w:color="auto"/>
            </w:tcBorders>
            <w:shd w:val="clear" w:color="auto" w:fill="FFFFFF" w:themeFill="background1"/>
            <w:tcMar>
              <w:top w:w="0" w:type="dxa"/>
              <w:left w:w="108" w:type="dxa"/>
              <w:bottom w:w="0" w:type="dxa"/>
              <w:right w:w="108" w:type="dxa"/>
            </w:tcMar>
          </w:tcPr>
          <w:p w14:paraId="247126D3" w14:textId="2D528687" w:rsidR="002B79FF" w:rsidRPr="0054606A" w:rsidRDefault="002B79FF" w:rsidP="00C7266E">
            <w:pPr>
              <w:spacing w:line="178" w:lineRule="atLeast"/>
              <w:jc w:val="center"/>
              <w:rPr>
                <w:rFonts w:ascii="Calibri" w:hAnsi="Calibri" w:cs="Calibri"/>
                <w:sz w:val="18"/>
              </w:rPr>
            </w:pPr>
          </w:p>
        </w:tc>
        <w:tc>
          <w:tcPr>
            <w:tcW w:w="1350" w:type="dxa"/>
            <w:tcBorders>
              <w:top w:val="single" w:sz="8" w:space="0" w:color="auto"/>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23EB30C4" w14:textId="77777777" w:rsidR="002B79FF" w:rsidRPr="0054606A" w:rsidRDefault="002B79FF" w:rsidP="00C7266E">
            <w:pPr>
              <w:spacing w:line="178" w:lineRule="atLeast"/>
              <w:jc w:val="center"/>
              <w:rPr>
                <w:rFonts w:ascii="Calibri" w:hAnsi="Calibri" w:cs="Calibri"/>
                <w:sz w:val="18"/>
              </w:rPr>
            </w:pPr>
            <w:r w:rsidRPr="0054606A">
              <w:rPr>
                <w:rFonts w:ascii="Arial" w:hAnsi="Arial" w:cs="Arial"/>
                <w:bCs/>
                <w:color w:val="000000"/>
                <w:sz w:val="18"/>
              </w:rPr>
              <w:t xml:space="preserve"> Amount (USD) </w:t>
            </w:r>
          </w:p>
        </w:tc>
      </w:tr>
      <w:tr w:rsidR="002B79FF" w:rsidRPr="00986025" w14:paraId="71079DC1" w14:textId="77777777" w:rsidTr="002B79FF">
        <w:trPr>
          <w:trHeight w:val="115"/>
        </w:trPr>
        <w:tc>
          <w:tcPr>
            <w:tcW w:w="24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ED7F782" w14:textId="77777777" w:rsidR="002B79FF" w:rsidRPr="00986025" w:rsidRDefault="002B79FF" w:rsidP="00C7266E">
            <w:pPr>
              <w:spacing w:line="115" w:lineRule="atLeast"/>
              <w:rPr>
                <w:rFonts w:ascii="Calibri" w:hAnsi="Calibri" w:cs="Calibri"/>
                <w:sz w:val="18"/>
              </w:rPr>
            </w:pPr>
            <w:r w:rsidRPr="00986025">
              <w:rPr>
                <w:rFonts w:ascii="Arial" w:hAnsi="Arial" w:cs="Arial"/>
                <w:color w:val="000000"/>
                <w:sz w:val="18"/>
              </w:rPr>
              <w:t>Nicoline de Haan</w:t>
            </w:r>
          </w:p>
        </w:tc>
        <w:tc>
          <w:tcPr>
            <w:tcW w:w="1992" w:type="dxa"/>
            <w:tcBorders>
              <w:top w:val="nil"/>
              <w:left w:val="nil"/>
              <w:bottom w:val="single" w:sz="8" w:space="0" w:color="auto"/>
              <w:right w:val="single" w:sz="4" w:space="0" w:color="auto"/>
            </w:tcBorders>
            <w:tcMar>
              <w:top w:w="0" w:type="dxa"/>
              <w:left w:w="108" w:type="dxa"/>
              <w:bottom w:w="0" w:type="dxa"/>
              <w:right w:w="108" w:type="dxa"/>
            </w:tcMar>
            <w:hideMark/>
          </w:tcPr>
          <w:p w14:paraId="1E3F3143" w14:textId="77777777" w:rsidR="002B79FF" w:rsidRPr="00986025" w:rsidRDefault="002B79FF" w:rsidP="00C7266E">
            <w:pPr>
              <w:spacing w:line="115" w:lineRule="atLeast"/>
              <w:jc w:val="center"/>
              <w:rPr>
                <w:rFonts w:ascii="Calibri" w:hAnsi="Calibri" w:cs="Calibri"/>
                <w:sz w:val="18"/>
              </w:rPr>
            </w:pPr>
            <w:r w:rsidRPr="00986025">
              <w:rPr>
                <w:rFonts w:ascii="Arial" w:hAnsi="Arial" w:cs="Arial"/>
                <w:color w:val="000000"/>
                <w:sz w:val="18"/>
              </w:rPr>
              <w:t>4%</w:t>
            </w:r>
          </w:p>
        </w:tc>
        <w:tc>
          <w:tcPr>
            <w:tcW w:w="247" w:type="dxa"/>
            <w:tcBorders>
              <w:top w:val="single" w:sz="8" w:space="0" w:color="auto"/>
              <w:left w:val="single" w:sz="4" w:space="0" w:color="auto"/>
              <w:bottom w:val="single" w:sz="8" w:space="0" w:color="auto"/>
              <w:right w:val="single" w:sz="8" w:space="0" w:color="auto"/>
            </w:tcBorders>
            <w:noWrap/>
            <w:tcMar>
              <w:top w:w="0" w:type="dxa"/>
              <w:left w:w="108" w:type="dxa"/>
              <w:bottom w:w="0" w:type="dxa"/>
              <w:right w:w="108" w:type="dxa"/>
            </w:tcMar>
          </w:tcPr>
          <w:p w14:paraId="7951948E" w14:textId="51FFC3EE" w:rsidR="002B79FF" w:rsidRPr="00986025" w:rsidRDefault="002B79FF" w:rsidP="002B79FF">
            <w:pPr>
              <w:spacing w:line="178" w:lineRule="atLeast"/>
              <w:jc w:val="center"/>
              <w:rPr>
                <w:rFonts w:ascii="Calibri" w:hAnsi="Calibri" w:cs="Calibri"/>
                <w:sz w:val="18"/>
              </w:rPr>
            </w:pPr>
          </w:p>
        </w:tc>
        <w:tc>
          <w:tcPr>
            <w:tcW w:w="1350" w:type="dxa"/>
            <w:tcBorders>
              <w:top w:val="nil"/>
              <w:left w:val="nil"/>
              <w:bottom w:val="single" w:sz="8" w:space="0" w:color="auto"/>
              <w:right w:val="single" w:sz="8" w:space="0" w:color="auto"/>
            </w:tcBorders>
            <w:noWrap/>
            <w:tcMar>
              <w:top w:w="0" w:type="dxa"/>
              <w:left w:w="108" w:type="dxa"/>
              <w:bottom w:w="0" w:type="dxa"/>
              <w:right w:w="108" w:type="dxa"/>
            </w:tcMar>
            <w:hideMark/>
          </w:tcPr>
          <w:p w14:paraId="49BCF4C9" w14:textId="77777777" w:rsidR="002B79FF" w:rsidRPr="00986025" w:rsidRDefault="002B79FF" w:rsidP="00C7266E">
            <w:pPr>
              <w:spacing w:line="115" w:lineRule="atLeast"/>
              <w:jc w:val="right"/>
              <w:rPr>
                <w:rFonts w:ascii="Calibri" w:hAnsi="Calibri" w:cs="Calibri"/>
                <w:sz w:val="18"/>
              </w:rPr>
            </w:pPr>
            <w:r w:rsidRPr="00986025">
              <w:rPr>
                <w:rFonts w:ascii="Arial" w:hAnsi="Arial" w:cs="Arial"/>
                <w:color w:val="000000"/>
                <w:sz w:val="18"/>
              </w:rPr>
              <w:t xml:space="preserve">    6,540 </w:t>
            </w:r>
          </w:p>
        </w:tc>
      </w:tr>
      <w:tr w:rsidR="002B79FF" w:rsidRPr="00986025" w14:paraId="7D857FF5" w14:textId="77777777" w:rsidTr="002B79FF">
        <w:trPr>
          <w:trHeight w:val="60"/>
        </w:trPr>
        <w:tc>
          <w:tcPr>
            <w:tcW w:w="24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C3BF40B" w14:textId="77777777" w:rsidR="002B79FF" w:rsidRPr="00986025" w:rsidRDefault="002B79FF" w:rsidP="00C7266E">
            <w:pPr>
              <w:spacing w:line="60" w:lineRule="atLeast"/>
              <w:rPr>
                <w:rFonts w:ascii="Calibri" w:hAnsi="Calibri" w:cs="Calibri"/>
                <w:sz w:val="18"/>
              </w:rPr>
            </w:pPr>
            <w:r w:rsidRPr="00986025">
              <w:rPr>
                <w:rFonts w:ascii="Arial" w:hAnsi="Arial" w:cs="Arial"/>
                <w:color w:val="000000"/>
                <w:sz w:val="18"/>
              </w:rPr>
              <w:t>Birhanu Lenjiso</w:t>
            </w:r>
          </w:p>
        </w:tc>
        <w:tc>
          <w:tcPr>
            <w:tcW w:w="1992" w:type="dxa"/>
            <w:tcBorders>
              <w:top w:val="nil"/>
              <w:left w:val="nil"/>
              <w:bottom w:val="single" w:sz="8" w:space="0" w:color="auto"/>
              <w:right w:val="single" w:sz="4" w:space="0" w:color="auto"/>
            </w:tcBorders>
            <w:tcMar>
              <w:top w:w="0" w:type="dxa"/>
              <w:left w:w="108" w:type="dxa"/>
              <w:bottom w:w="0" w:type="dxa"/>
              <w:right w:w="108" w:type="dxa"/>
            </w:tcMar>
            <w:hideMark/>
          </w:tcPr>
          <w:p w14:paraId="330E1872" w14:textId="77777777" w:rsidR="002B79FF" w:rsidRPr="00986025" w:rsidRDefault="002B79FF" w:rsidP="00C7266E">
            <w:pPr>
              <w:spacing w:line="60" w:lineRule="atLeast"/>
              <w:jc w:val="center"/>
              <w:rPr>
                <w:rFonts w:ascii="Calibri" w:hAnsi="Calibri" w:cs="Calibri"/>
                <w:sz w:val="18"/>
              </w:rPr>
            </w:pPr>
            <w:r w:rsidRPr="00986025">
              <w:rPr>
                <w:rFonts w:ascii="Arial" w:hAnsi="Arial" w:cs="Arial"/>
                <w:color w:val="000000"/>
                <w:sz w:val="18"/>
              </w:rPr>
              <w:t>26%</w:t>
            </w:r>
          </w:p>
        </w:tc>
        <w:tc>
          <w:tcPr>
            <w:tcW w:w="247" w:type="dxa"/>
            <w:tcBorders>
              <w:top w:val="single" w:sz="8" w:space="0" w:color="auto"/>
              <w:left w:val="single" w:sz="4" w:space="0" w:color="auto"/>
              <w:bottom w:val="single" w:sz="8" w:space="0" w:color="auto"/>
              <w:right w:val="single" w:sz="8" w:space="0" w:color="auto"/>
            </w:tcBorders>
            <w:noWrap/>
            <w:tcMar>
              <w:top w:w="0" w:type="dxa"/>
              <w:left w:w="108" w:type="dxa"/>
              <w:bottom w:w="0" w:type="dxa"/>
              <w:right w:w="108" w:type="dxa"/>
            </w:tcMar>
          </w:tcPr>
          <w:p w14:paraId="3ECCAE12" w14:textId="5C0C67F6" w:rsidR="002B79FF" w:rsidRPr="00986025" w:rsidRDefault="002B79FF" w:rsidP="00C7266E">
            <w:pPr>
              <w:spacing w:line="60" w:lineRule="atLeast"/>
              <w:jc w:val="right"/>
              <w:rPr>
                <w:rFonts w:ascii="Calibri" w:hAnsi="Calibri" w:cs="Calibri"/>
                <w:sz w:val="18"/>
              </w:rPr>
            </w:pPr>
          </w:p>
        </w:tc>
        <w:tc>
          <w:tcPr>
            <w:tcW w:w="1350" w:type="dxa"/>
            <w:tcBorders>
              <w:top w:val="nil"/>
              <w:left w:val="nil"/>
              <w:bottom w:val="single" w:sz="8" w:space="0" w:color="auto"/>
              <w:right w:val="single" w:sz="8" w:space="0" w:color="auto"/>
            </w:tcBorders>
            <w:noWrap/>
            <w:tcMar>
              <w:top w:w="0" w:type="dxa"/>
              <w:left w:w="108" w:type="dxa"/>
              <w:bottom w:w="0" w:type="dxa"/>
              <w:right w:w="108" w:type="dxa"/>
            </w:tcMar>
            <w:hideMark/>
          </w:tcPr>
          <w:p w14:paraId="4D3ECE84" w14:textId="77777777" w:rsidR="002B79FF" w:rsidRPr="00986025" w:rsidRDefault="002B79FF" w:rsidP="00C7266E">
            <w:pPr>
              <w:spacing w:line="60" w:lineRule="atLeast"/>
              <w:jc w:val="right"/>
              <w:rPr>
                <w:rFonts w:ascii="Calibri" w:hAnsi="Calibri" w:cs="Calibri"/>
                <w:sz w:val="18"/>
              </w:rPr>
            </w:pPr>
            <w:r w:rsidRPr="00986025">
              <w:rPr>
                <w:rFonts w:ascii="Arial" w:hAnsi="Arial" w:cs="Arial"/>
                <w:color w:val="000000"/>
                <w:sz w:val="18"/>
              </w:rPr>
              <w:t xml:space="preserve">    27,482 </w:t>
            </w:r>
          </w:p>
        </w:tc>
      </w:tr>
      <w:tr w:rsidR="002B79FF" w:rsidRPr="00986025" w14:paraId="63B5BCF1" w14:textId="77777777" w:rsidTr="002B79FF">
        <w:trPr>
          <w:trHeight w:val="60"/>
        </w:trPr>
        <w:tc>
          <w:tcPr>
            <w:tcW w:w="24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58ACA53" w14:textId="77777777" w:rsidR="002B79FF" w:rsidRPr="00986025" w:rsidRDefault="002B79FF" w:rsidP="00C7266E">
            <w:pPr>
              <w:spacing w:line="60" w:lineRule="atLeast"/>
              <w:rPr>
                <w:rFonts w:ascii="Calibri" w:hAnsi="Calibri" w:cs="Calibri"/>
                <w:sz w:val="18"/>
              </w:rPr>
            </w:pPr>
            <w:r w:rsidRPr="00986025">
              <w:rPr>
                <w:rFonts w:ascii="Arial" w:hAnsi="Arial" w:cs="Arial"/>
                <w:color w:val="000000"/>
                <w:sz w:val="18"/>
              </w:rPr>
              <w:t>Juliet Kariuki</w:t>
            </w:r>
          </w:p>
        </w:tc>
        <w:tc>
          <w:tcPr>
            <w:tcW w:w="1992" w:type="dxa"/>
            <w:tcBorders>
              <w:top w:val="nil"/>
              <w:left w:val="nil"/>
              <w:bottom w:val="single" w:sz="8" w:space="0" w:color="auto"/>
              <w:right w:val="single" w:sz="4" w:space="0" w:color="auto"/>
            </w:tcBorders>
            <w:tcMar>
              <w:top w:w="0" w:type="dxa"/>
              <w:left w:w="108" w:type="dxa"/>
              <w:bottom w:w="0" w:type="dxa"/>
              <w:right w:w="108" w:type="dxa"/>
            </w:tcMar>
            <w:hideMark/>
          </w:tcPr>
          <w:p w14:paraId="3880906B" w14:textId="77777777" w:rsidR="002B79FF" w:rsidRPr="00986025" w:rsidRDefault="002B79FF" w:rsidP="00C7266E">
            <w:pPr>
              <w:spacing w:line="60" w:lineRule="atLeast"/>
              <w:jc w:val="center"/>
              <w:rPr>
                <w:rFonts w:ascii="Calibri" w:hAnsi="Calibri" w:cs="Calibri"/>
                <w:sz w:val="18"/>
              </w:rPr>
            </w:pPr>
            <w:r w:rsidRPr="00986025">
              <w:rPr>
                <w:rFonts w:ascii="Arial" w:hAnsi="Arial" w:cs="Arial"/>
                <w:color w:val="000000"/>
                <w:sz w:val="18"/>
              </w:rPr>
              <w:t>10%</w:t>
            </w:r>
          </w:p>
        </w:tc>
        <w:tc>
          <w:tcPr>
            <w:tcW w:w="247" w:type="dxa"/>
            <w:tcBorders>
              <w:top w:val="single" w:sz="8" w:space="0" w:color="auto"/>
              <w:left w:val="single" w:sz="4" w:space="0" w:color="auto"/>
              <w:bottom w:val="single" w:sz="8" w:space="0" w:color="auto"/>
              <w:right w:val="single" w:sz="8" w:space="0" w:color="auto"/>
            </w:tcBorders>
            <w:noWrap/>
            <w:tcMar>
              <w:top w:w="0" w:type="dxa"/>
              <w:left w:w="108" w:type="dxa"/>
              <w:bottom w:w="0" w:type="dxa"/>
              <w:right w:w="108" w:type="dxa"/>
            </w:tcMar>
          </w:tcPr>
          <w:p w14:paraId="3731308A" w14:textId="62FD34C9" w:rsidR="002B79FF" w:rsidRPr="00986025" w:rsidRDefault="002B79FF" w:rsidP="00C7266E">
            <w:pPr>
              <w:spacing w:line="60" w:lineRule="atLeast"/>
              <w:jc w:val="right"/>
              <w:rPr>
                <w:rFonts w:ascii="Calibri" w:hAnsi="Calibri" w:cs="Calibri"/>
                <w:sz w:val="18"/>
              </w:rPr>
            </w:pPr>
          </w:p>
        </w:tc>
        <w:tc>
          <w:tcPr>
            <w:tcW w:w="1350" w:type="dxa"/>
            <w:tcBorders>
              <w:top w:val="nil"/>
              <w:left w:val="nil"/>
              <w:bottom w:val="single" w:sz="8" w:space="0" w:color="auto"/>
              <w:right w:val="single" w:sz="8" w:space="0" w:color="auto"/>
            </w:tcBorders>
            <w:noWrap/>
            <w:tcMar>
              <w:top w:w="0" w:type="dxa"/>
              <w:left w:w="108" w:type="dxa"/>
              <w:bottom w:w="0" w:type="dxa"/>
              <w:right w:w="108" w:type="dxa"/>
            </w:tcMar>
            <w:hideMark/>
          </w:tcPr>
          <w:p w14:paraId="751FE589" w14:textId="77777777" w:rsidR="002B79FF" w:rsidRPr="00986025" w:rsidRDefault="002B79FF" w:rsidP="00C7266E">
            <w:pPr>
              <w:spacing w:line="60" w:lineRule="atLeast"/>
              <w:jc w:val="right"/>
              <w:rPr>
                <w:rFonts w:ascii="Calibri" w:hAnsi="Calibri" w:cs="Calibri"/>
                <w:sz w:val="18"/>
              </w:rPr>
            </w:pPr>
            <w:r w:rsidRPr="00986025">
              <w:rPr>
                <w:rFonts w:ascii="Arial" w:hAnsi="Arial" w:cs="Arial"/>
                <w:color w:val="000000"/>
                <w:sz w:val="18"/>
              </w:rPr>
              <w:t xml:space="preserve">      7,860 </w:t>
            </w:r>
          </w:p>
        </w:tc>
      </w:tr>
      <w:tr w:rsidR="002B79FF" w:rsidRPr="00986025" w14:paraId="0FDBC971" w14:textId="77777777" w:rsidTr="002B79FF">
        <w:trPr>
          <w:trHeight w:val="60"/>
        </w:trPr>
        <w:tc>
          <w:tcPr>
            <w:tcW w:w="24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E1E5346" w14:textId="77777777" w:rsidR="002B79FF" w:rsidRPr="00986025" w:rsidRDefault="002B79FF" w:rsidP="00C7266E">
            <w:pPr>
              <w:spacing w:line="60" w:lineRule="atLeast"/>
              <w:rPr>
                <w:rFonts w:ascii="Calibri" w:hAnsi="Calibri" w:cs="Calibri"/>
                <w:sz w:val="18"/>
              </w:rPr>
            </w:pPr>
            <w:r w:rsidRPr="00986025">
              <w:rPr>
                <w:rFonts w:ascii="Arial" w:hAnsi="Arial" w:cs="Arial"/>
                <w:color w:val="000000"/>
                <w:sz w:val="18"/>
              </w:rPr>
              <w:t>Kathleen Tavenner</w:t>
            </w:r>
          </w:p>
        </w:tc>
        <w:tc>
          <w:tcPr>
            <w:tcW w:w="1992" w:type="dxa"/>
            <w:tcBorders>
              <w:top w:val="nil"/>
              <w:left w:val="nil"/>
              <w:bottom w:val="single" w:sz="8" w:space="0" w:color="auto"/>
              <w:right w:val="single" w:sz="4" w:space="0" w:color="auto"/>
            </w:tcBorders>
            <w:tcMar>
              <w:top w:w="0" w:type="dxa"/>
              <w:left w:w="108" w:type="dxa"/>
              <w:bottom w:w="0" w:type="dxa"/>
              <w:right w:w="108" w:type="dxa"/>
            </w:tcMar>
            <w:hideMark/>
          </w:tcPr>
          <w:p w14:paraId="7C6D8994" w14:textId="77777777" w:rsidR="002B79FF" w:rsidRPr="00986025" w:rsidRDefault="002B79FF" w:rsidP="00C7266E">
            <w:pPr>
              <w:spacing w:line="60" w:lineRule="atLeast"/>
              <w:jc w:val="center"/>
              <w:rPr>
                <w:rFonts w:ascii="Calibri" w:hAnsi="Calibri" w:cs="Calibri"/>
                <w:sz w:val="18"/>
              </w:rPr>
            </w:pPr>
            <w:r w:rsidRPr="00986025">
              <w:rPr>
                <w:rFonts w:ascii="Arial" w:hAnsi="Arial" w:cs="Arial"/>
                <w:color w:val="000000"/>
                <w:sz w:val="18"/>
              </w:rPr>
              <w:t>8%</w:t>
            </w:r>
          </w:p>
        </w:tc>
        <w:tc>
          <w:tcPr>
            <w:tcW w:w="247" w:type="dxa"/>
            <w:tcBorders>
              <w:top w:val="single" w:sz="8" w:space="0" w:color="auto"/>
              <w:left w:val="single" w:sz="4" w:space="0" w:color="auto"/>
              <w:bottom w:val="single" w:sz="8" w:space="0" w:color="auto"/>
              <w:right w:val="single" w:sz="8" w:space="0" w:color="auto"/>
            </w:tcBorders>
            <w:noWrap/>
            <w:tcMar>
              <w:top w:w="0" w:type="dxa"/>
              <w:left w:w="108" w:type="dxa"/>
              <w:bottom w:w="0" w:type="dxa"/>
              <w:right w:w="108" w:type="dxa"/>
            </w:tcMar>
          </w:tcPr>
          <w:p w14:paraId="1143FB37" w14:textId="26DEFCDB" w:rsidR="002B79FF" w:rsidRPr="00986025" w:rsidRDefault="002B79FF" w:rsidP="00C7266E">
            <w:pPr>
              <w:spacing w:line="60" w:lineRule="atLeast"/>
              <w:jc w:val="right"/>
              <w:rPr>
                <w:rFonts w:ascii="Calibri" w:hAnsi="Calibri" w:cs="Calibri"/>
                <w:sz w:val="18"/>
              </w:rPr>
            </w:pPr>
          </w:p>
        </w:tc>
        <w:tc>
          <w:tcPr>
            <w:tcW w:w="1350" w:type="dxa"/>
            <w:tcBorders>
              <w:top w:val="nil"/>
              <w:left w:val="nil"/>
              <w:bottom w:val="single" w:sz="8" w:space="0" w:color="auto"/>
              <w:right w:val="single" w:sz="8" w:space="0" w:color="auto"/>
            </w:tcBorders>
            <w:noWrap/>
            <w:tcMar>
              <w:top w:w="0" w:type="dxa"/>
              <w:left w:w="108" w:type="dxa"/>
              <w:bottom w:w="0" w:type="dxa"/>
              <w:right w:w="108" w:type="dxa"/>
            </w:tcMar>
            <w:hideMark/>
          </w:tcPr>
          <w:p w14:paraId="7809179D" w14:textId="77777777" w:rsidR="002B79FF" w:rsidRPr="00986025" w:rsidRDefault="002B79FF" w:rsidP="00C7266E">
            <w:pPr>
              <w:spacing w:line="60" w:lineRule="atLeast"/>
              <w:jc w:val="right"/>
              <w:rPr>
                <w:rFonts w:ascii="Calibri" w:hAnsi="Calibri" w:cs="Calibri"/>
                <w:sz w:val="18"/>
              </w:rPr>
            </w:pPr>
            <w:r w:rsidRPr="00986025">
              <w:rPr>
                <w:rFonts w:ascii="Arial" w:hAnsi="Arial" w:cs="Arial"/>
                <w:color w:val="000000"/>
                <w:sz w:val="18"/>
              </w:rPr>
              <w:t xml:space="preserve">      7,032 </w:t>
            </w:r>
          </w:p>
        </w:tc>
      </w:tr>
      <w:tr w:rsidR="002B79FF" w:rsidRPr="00986025" w14:paraId="08DB8561" w14:textId="77777777" w:rsidTr="002B79FF">
        <w:trPr>
          <w:trHeight w:val="60"/>
        </w:trPr>
        <w:tc>
          <w:tcPr>
            <w:tcW w:w="24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DCB9AA3" w14:textId="086DE7BA" w:rsidR="002B79FF" w:rsidRPr="00986025" w:rsidRDefault="002B79FF" w:rsidP="00C7266E">
            <w:pPr>
              <w:spacing w:line="60" w:lineRule="atLeast"/>
              <w:rPr>
                <w:rFonts w:ascii="Calibri" w:hAnsi="Calibri" w:cs="Calibri"/>
                <w:sz w:val="18"/>
              </w:rPr>
            </w:pPr>
            <w:r w:rsidRPr="00986025">
              <w:rPr>
                <w:rFonts w:ascii="Arial" w:hAnsi="Arial" w:cs="Arial"/>
                <w:color w:val="000000"/>
                <w:sz w:val="18"/>
              </w:rPr>
              <w:t>Wendy Godek</w:t>
            </w:r>
          </w:p>
        </w:tc>
        <w:tc>
          <w:tcPr>
            <w:tcW w:w="1992" w:type="dxa"/>
            <w:tcBorders>
              <w:top w:val="nil"/>
              <w:left w:val="nil"/>
              <w:bottom w:val="single" w:sz="8" w:space="0" w:color="auto"/>
              <w:right w:val="single" w:sz="4" w:space="0" w:color="auto"/>
            </w:tcBorders>
            <w:tcMar>
              <w:top w:w="0" w:type="dxa"/>
              <w:left w:w="108" w:type="dxa"/>
              <w:bottom w:w="0" w:type="dxa"/>
              <w:right w:w="108" w:type="dxa"/>
            </w:tcMar>
            <w:hideMark/>
          </w:tcPr>
          <w:p w14:paraId="06F84DF6" w14:textId="77777777" w:rsidR="002B79FF" w:rsidRPr="00986025" w:rsidRDefault="002B79FF" w:rsidP="00C7266E">
            <w:pPr>
              <w:spacing w:line="60" w:lineRule="atLeast"/>
              <w:jc w:val="center"/>
              <w:rPr>
                <w:rFonts w:ascii="Calibri" w:hAnsi="Calibri" w:cs="Calibri"/>
                <w:sz w:val="18"/>
              </w:rPr>
            </w:pPr>
            <w:r w:rsidRPr="00986025">
              <w:rPr>
                <w:rFonts w:ascii="Arial" w:hAnsi="Arial" w:cs="Arial"/>
                <w:color w:val="000000"/>
                <w:sz w:val="18"/>
              </w:rPr>
              <w:t>25%</w:t>
            </w:r>
          </w:p>
        </w:tc>
        <w:tc>
          <w:tcPr>
            <w:tcW w:w="247" w:type="dxa"/>
            <w:tcBorders>
              <w:top w:val="single" w:sz="8" w:space="0" w:color="auto"/>
              <w:left w:val="single" w:sz="4" w:space="0" w:color="auto"/>
              <w:bottom w:val="single" w:sz="8" w:space="0" w:color="auto"/>
              <w:right w:val="single" w:sz="8" w:space="0" w:color="auto"/>
            </w:tcBorders>
            <w:noWrap/>
            <w:tcMar>
              <w:top w:w="0" w:type="dxa"/>
              <w:left w:w="108" w:type="dxa"/>
              <w:bottom w:w="0" w:type="dxa"/>
              <w:right w:w="108" w:type="dxa"/>
            </w:tcMar>
          </w:tcPr>
          <w:p w14:paraId="7ED39BD2" w14:textId="53971E5F" w:rsidR="002B79FF" w:rsidRPr="00986025" w:rsidRDefault="002B79FF" w:rsidP="00C7266E">
            <w:pPr>
              <w:spacing w:line="60" w:lineRule="atLeast"/>
              <w:jc w:val="right"/>
              <w:rPr>
                <w:rFonts w:ascii="Calibri" w:hAnsi="Calibri" w:cs="Calibri"/>
                <w:sz w:val="18"/>
              </w:rPr>
            </w:pPr>
          </w:p>
        </w:tc>
        <w:tc>
          <w:tcPr>
            <w:tcW w:w="1350" w:type="dxa"/>
            <w:tcBorders>
              <w:top w:val="nil"/>
              <w:left w:val="nil"/>
              <w:bottom w:val="single" w:sz="8" w:space="0" w:color="auto"/>
              <w:right w:val="single" w:sz="8" w:space="0" w:color="auto"/>
            </w:tcBorders>
            <w:noWrap/>
            <w:tcMar>
              <w:top w:w="0" w:type="dxa"/>
              <w:left w:w="108" w:type="dxa"/>
              <w:bottom w:w="0" w:type="dxa"/>
              <w:right w:w="108" w:type="dxa"/>
            </w:tcMar>
            <w:hideMark/>
          </w:tcPr>
          <w:p w14:paraId="170DD61B" w14:textId="77777777" w:rsidR="002B79FF" w:rsidRPr="00986025" w:rsidRDefault="002B79FF" w:rsidP="00C7266E">
            <w:pPr>
              <w:spacing w:line="60" w:lineRule="atLeast"/>
              <w:jc w:val="right"/>
              <w:rPr>
                <w:rFonts w:ascii="Calibri" w:hAnsi="Calibri" w:cs="Calibri"/>
                <w:sz w:val="18"/>
              </w:rPr>
            </w:pPr>
            <w:r w:rsidRPr="00986025">
              <w:rPr>
                <w:rFonts w:ascii="Arial" w:hAnsi="Arial" w:cs="Arial"/>
                <w:color w:val="000000"/>
                <w:sz w:val="18"/>
              </w:rPr>
              <w:t>13,000</w:t>
            </w:r>
          </w:p>
        </w:tc>
      </w:tr>
      <w:tr w:rsidR="002B79FF" w:rsidRPr="00986025" w14:paraId="7C52C77B" w14:textId="77777777" w:rsidTr="002B79FF">
        <w:trPr>
          <w:trHeight w:val="60"/>
        </w:trPr>
        <w:tc>
          <w:tcPr>
            <w:tcW w:w="24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8989D39" w14:textId="77777777" w:rsidR="002B79FF" w:rsidRPr="00986025" w:rsidRDefault="002B79FF" w:rsidP="00C7266E">
            <w:pPr>
              <w:spacing w:line="60" w:lineRule="atLeast"/>
              <w:rPr>
                <w:rFonts w:ascii="Calibri" w:hAnsi="Calibri" w:cs="Calibri"/>
                <w:sz w:val="18"/>
              </w:rPr>
            </w:pPr>
            <w:r w:rsidRPr="00986025">
              <w:rPr>
                <w:rFonts w:ascii="Arial" w:hAnsi="Arial" w:cs="Arial"/>
                <w:color w:val="000000"/>
                <w:sz w:val="18"/>
              </w:rPr>
              <w:t>ICARDA</w:t>
            </w:r>
          </w:p>
        </w:tc>
        <w:tc>
          <w:tcPr>
            <w:tcW w:w="1992" w:type="dxa"/>
            <w:tcBorders>
              <w:top w:val="nil"/>
              <w:left w:val="nil"/>
              <w:bottom w:val="single" w:sz="8" w:space="0" w:color="auto"/>
              <w:right w:val="single" w:sz="4" w:space="0" w:color="auto"/>
            </w:tcBorders>
            <w:tcMar>
              <w:top w:w="0" w:type="dxa"/>
              <w:left w:w="108" w:type="dxa"/>
              <w:bottom w:w="0" w:type="dxa"/>
              <w:right w:w="108" w:type="dxa"/>
            </w:tcMar>
            <w:hideMark/>
          </w:tcPr>
          <w:p w14:paraId="41D47C62" w14:textId="77777777" w:rsidR="002B79FF" w:rsidRPr="00986025" w:rsidRDefault="002B79FF" w:rsidP="00C7266E">
            <w:pPr>
              <w:spacing w:line="60" w:lineRule="atLeast"/>
              <w:jc w:val="center"/>
              <w:rPr>
                <w:rFonts w:ascii="Calibri" w:hAnsi="Calibri" w:cs="Calibri"/>
                <w:sz w:val="18"/>
              </w:rPr>
            </w:pPr>
            <w:r w:rsidRPr="00986025">
              <w:rPr>
                <w:rFonts w:ascii="Arial" w:hAnsi="Arial" w:cs="Arial"/>
                <w:color w:val="000000"/>
                <w:sz w:val="18"/>
              </w:rPr>
              <w:t>45%</w:t>
            </w:r>
          </w:p>
        </w:tc>
        <w:tc>
          <w:tcPr>
            <w:tcW w:w="247" w:type="dxa"/>
            <w:tcBorders>
              <w:top w:val="single" w:sz="8" w:space="0" w:color="auto"/>
              <w:left w:val="single" w:sz="4" w:space="0" w:color="auto"/>
              <w:bottom w:val="single" w:sz="8" w:space="0" w:color="auto"/>
              <w:right w:val="single" w:sz="8" w:space="0" w:color="auto"/>
            </w:tcBorders>
            <w:noWrap/>
            <w:tcMar>
              <w:top w:w="0" w:type="dxa"/>
              <w:left w:w="108" w:type="dxa"/>
              <w:bottom w:w="0" w:type="dxa"/>
              <w:right w:w="108" w:type="dxa"/>
            </w:tcMar>
          </w:tcPr>
          <w:p w14:paraId="0FB48BEE" w14:textId="677500EB" w:rsidR="002B79FF" w:rsidRPr="00986025" w:rsidRDefault="002B79FF" w:rsidP="00C7266E">
            <w:pPr>
              <w:spacing w:line="60" w:lineRule="atLeast"/>
              <w:jc w:val="right"/>
              <w:rPr>
                <w:rFonts w:ascii="Calibri" w:hAnsi="Calibri" w:cs="Calibri"/>
                <w:sz w:val="18"/>
              </w:rPr>
            </w:pPr>
          </w:p>
        </w:tc>
        <w:tc>
          <w:tcPr>
            <w:tcW w:w="1350" w:type="dxa"/>
            <w:tcBorders>
              <w:top w:val="nil"/>
              <w:left w:val="nil"/>
              <w:bottom w:val="single" w:sz="8" w:space="0" w:color="auto"/>
              <w:right w:val="single" w:sz="8" w:space="0" w:color="auto"/>
            </w:tcBorders>
            <w:noWrap/>
            <w:tcMar>
              <w:top w:w="0" w:type="dxa"/>
              <w:left w:w="108" w:type="dxa"/>
              <w:bottom w:w="0" w:type="dxa"/>
              <w:right w:w="108" w:type="dxa"/>
            </w:tcMar>
            <w:hideMark/>
          </w:tcPr>
          <w:p w14:paraId="1C68D226" w14:textId="77777777" w:rsidR="002B79FF" w:rsidRPr="00986025" w:rsidRDefault="002B79FF" w:rsidP="00C7266E">
            <w:pPr>
              <w:spacing w:line="60" w:lineRule="atLeast"/>
              <w:jc w:val="right"/>
              <w:rPr>
                <w:rFonts w:ascii="Calibri" w:hAnsi="Calibri" w:cs="Calibri"/>
                <w:sz w:val="18"/>
              </w:rPr>
            </w:pPr>
            <w:r w:rsidRPr="00986025">
              <w:rPr>
                <w:rFonts w:ascii="Arial" w:hAnsi="Arial" w:cs="Arial"/>
                <w:color w:val="000000"/>
                <w:sz w:val="18"/>
              </w:rPr>
              <w:t xml:space="preserve">    13,500 </w:t>
            </w:r>
          </w:p>
        </w:tc>
      </w:tr>
      <w:tr w:rsidR="002B79FF" w:rsidRPr="00986025" w14:paraId="5E5EF95E" w14:textId="77777777" w:rsidTr="00C7266E">
        <w:trPr>
          <w:trHeight w:val="60"/>
        </w:trPr>
        <w:tc>
          <w:tcPr>
            <w:tcW w:w="4675" w:type="dxa"/>
            <w:gridSpan w:val="3"/>
            <w:tcBorders>
              <w:top w:val="nil"/>
              <w:left w:val="single" w:sz="8" w:space="0" w:color="auto"/>
              <w:bottom w:val="single" w:sz="8" w:space="0" w:color="auto"/>
              <w:right w:val="single" w:sz="8" w:space="0" w:color="000000"/>
            </w:tcBorders>
            <w:noWrap/>
            <w:tcMar>
              <w:top w:w="0" w:type="dxa"/>
              <w:left w:w="108" w:type="dxa"/>
              <w:bottom w:w="0" w:type="dxa"/>
              <w:right w:w="108" w:type="dxa"/>
            </w:tcMar>
            <w:hideMark/>
          </w:tcPr>
          <w:p w14:paraId="0EBBA50F" w14:textId="77777777" w:rsidR="002B79FF" w:rsidRPr="00986025" w:rsidRDefault="002B79FF" w:rsidP="00C7266E">
            <w:pPr>
              <w:spacing w:line="60" w:lineRule="atLeast"/>
              <w:rPr>
                <w:rFonts w:ascii="Calibri" w:hAnsi="Calibri" w:cs="Calibri"/>
                <w:sz w:val="18"/>
              </w:rPr>
            </w:pPr>
            <w:r w:rsidRPr="00986025">
              <w:rPr>
                <w:rFonts w:ascii="Arial" w:hAnsi="Arial" w:cs="Arial"/>
                <w:color w:val="000000"/>
                <w:sz w:val="18"/>
              </w:rPr>
              <w:t>ILRI Research coordination</w:t>
            </w:r>
          </w:p>
        </w:tc>
        <w:tc>
          <w:tcPr>
            <w:tcW w:w="1350" w:type="dxa"/>
            <w:tcBorders>
              <w:top w:val="nil"/>
              <w:left w:val="nil"/>
              <w:bottom w:val="single" w:sz="8" w:space="0" w:color="auto"/>
              <w:right w:val="single" w:sz="8" w:space="0" w:color="auto"/>
            </w:tcBorders>
            <w:noWrap/>
            <w:tcMar>
              <w:top w:w="0" w:type="dxa"/>
              <w:left w:w="108" w:type="dxa"/>
              <w:bottom w:w="0" w:type="dxa"/>
              <w:right w:w="108" w:type="dxa"/>
            </w:tcMar>
            <w:hideMark/>
          </w:tcPr>
          <w:p w14:paraId="4FB7EF2A" w14:textId="77777777" w:rsidR="002B79FF" w:rsidRPr="00986025" w:rsidRDefault="002B79FF" w:rsidP="00C7266E">
            <w:pPr>
              <w:spacing w:line="60" w:lineRule="atLeast"/>
              <w:jc w:val="right"/>
              <w:rPr>
                <w:rFonts w:ascii="Calibri" w:hAnsi="Calibri" w:cs="Calibri"/>
                <w:sz w:val="18"/>
              </w:rPr>
            </w:pPr>
            <w:r w:rsidRPr="00986025">
              <w:rPr>
                <w:rFonts w:ascii="Arial" w:hAnsi="Arial" w:cs="Arial"/>
                <w:color w:val="000000"/>
                <w:sz w:val="18"/>
              </w:rPr>
              <w:t xml:space="preserve">    7,337 </w:t>
            </w:r>
          </w:p>
        </w:tc>
      </w:tr>
      <w:tr w:rsidR="002B79FF" w:rsidRPr="00986025" w14:paraId="4087EFB0" w14:textId="77777777" w:rsidTr="00C7266E">
        <w:trPr>
          <w:trHeight w:val="60"/>
        </w:trPr>
        <w:tc>
          <w:tcPr>
            <w:tcW w:w="4675" w:type="dxa"/>
            <w:gridSpan w:val="3"/>
            <w:tcBorders>
              <w:top w:val="nil"/>
              <w:left w:val="single" w:sz="8" w:space="0" w:color="auto"/>
              <w:bottom w:val="single" w:sz="8" w:space="0" w:color="auto"/>
              <w:right w:val="single" w:sz="8" w:space="0" w:color="000000"/>
            </w:tcBorders>
            <w:noWrap/>
            <w:tcMar>
              <w:top w:w="0" w:type="dxa"/>
              <w:left w:w="108" w:type="dxa"/>
              <w:bottom w:w="0" w:type="dxa"/>
              <w:right w:w="108" w:type="dxa"/>
            </w:tcMar>
            <w:hideMark/>
          </w:tcPr>
          <w:p w14:paraId="7C91868D" w14:textId="77777777" w:rsidR="002B79FF" w:rsidRPr="00986025" w:rsidRDefault="002B79FF" w:rsidP="00C7266E">
            <w:pPr>
              <w:spacing w:line="60" w:lineRule="atLeast"/>
              <w:rPr>
                <w:rFonts w:ascii="Calibri" w:hAnsi="Calibri" w:cs="Calibri"/>
                <w:sz w:val="18"/>
              </w:rPr>
            </w:pPr>
            <w:r w:rsidRPr="00986025">
              <w:rPr>
                <w:rFonts w:ascii="Arial" w:hAnsi="Arial" w:cs="Arial"/>
                <w:color w:val="000000"/>
                <w:sz w:val="18"/>
              </w:rPr>
              <w:t>ILRI Space costs</w:t>
            </w:r>
          </w:p>
        </w:tc>
        <w:tc>
          <w:tcPr>
            <w:tcW w:w="1350" w:type="dxa"/>
            <w:tcBorders>
              <w:top w:val="nil"/>
              <w:left w:val="nil"/>
              <w:bottom w:val="single" w:sz="8" w:space="0" w:color="auto"/>
              <w:right w:val="single" w:sz="8" w:space="0" w:color="auto"/>
            </w:tcBorders>
            <w:noWrap/>
            <w:tcMar>
              <w:top w:w="0" w:type="dxa"/>
              <w:left w:w="108" w:type="dxa"/>
              <w:bottom w:w="0" w:type="dxa"/>
              <w:right w:w="108" w:type="dxa"/>
            </w:tcMar>
            <w:hideMark/>
          </w:tcPr>
          <w:p w14:paraId="75E3D5A4" w14:textId="77777777" w:rsidR="002B79FF" w:rsidRPr="00986025" w:rsidRDefault="002B79FF" w:rsidP="00C7266E">
            <w:pPr>
              <w:spacing w:line="60" w:lineRule="atLeast"/>
              <w:jc w:val="right"/>
              <w:rPr>
                <w:rFonts w:ascii="Calibri" w:hAnsi="Calibri" w:cs="Calibri"/>
                <w:sz w:val="18"/>
              </w:rPr>
            </w:pPr>
            <w:r w:rsidRPr="00986025">
              <w:rPr>
                <w:rFonts w:ascii="Arial" w:hAnsi="Arial" w:cs="Arial"/>
                <w:color w:val="000000"/>
                <w:sz w:val="18"/>
              </w:rPr>
              <w:t xml:space="preserve">      1,325 </w:t>
            </w:r>
          </w:p>
        </w:tc>
      </w:tr>
      <w:tr w:rsidR="002B79FF" w:rsidRPr="00986025" w14:paraId="7EEA5F9B" w14:textId="77777777" w:rsidTr="00C7266E">
        <w:trPr>
          <w:trHeight w:val="60"/>
        </w:trPr>
        <w:tc>
          <w:tcPr>
            <w:tcW w:w="4675" w:type="dxa"/>
            <w:gridSpan w:val="3"/>
            <w:tcBorders>
              <w:top w:val="nil"/>
              <w:left w:val="single" w:sz="8" w:space="0" w:color="auto"/>
              <w:bottom w:val="single" w:sz="8" w:space="0" w:color="auto"/>
              <w:right w:val="single" w:sz="8" w:space="0" w:color="000000"/>
            </w:tcBorders>
            <w:noWrap/>
            <w:tcMar>
              <w:top w:w="0" w:type="dxa"/>
              <w:left w:w="108" w:type="dxa"/>
              <w:bottom w:w="0" w:type="dxa"/>
              <w:right w:w="108" w:type="dxa"/>
            </w:tcMar>
            <w:hideMark/>
          </w:tcPr>
          <w:p w14:paraId="3A02F733" w14:textId="77777777" w:rsidR="002B79FF" w:rsidRPr="00986025" w:rsidRDefault="002B79FF" w:rsidP="00C7266E">
            <w:pPr>
              <w:spacing w:line="60" w:lineRule="atLeast"/>
              <w:rPr>
                <w:rFonts w:ascii="Calibri" w:hAnsi="Calibri" w:cs="Calibri"/>
                <w:sz w:val="18"/>
              </w:rPr>
            </w:pPr>
            <w:r w:rsidRPr="00986025">
              <w:rPr>
                <w:rFonts w:ascii="Arial" w:hAnsi="Arial" w:cs="Arial"/>
                <w:color w:val="000000"/>
                <w:sz w:val="18"/>
              </w:rPr>
              <w:t>ILRI ICT costs</w:t>
            </w:r>
          </w:p>
        </w:tc>
        <w:tc>
          <w:tcPr>
            <w:tcW w:w="1350" w:type="dxa"/>
            <w:tcBorders>
              <w:top w:val="nil"/>
              <w:left w:val="nil"/>
              <w:bottom w:val="single" w:sz="8" w:space="0" w:color="auto"/>
              <w:right w:val="single" w:sz="8" w:space="0" w:color="auto"/>
            </w:tcBorders>
            <w:noWrap/>
            <w:tcMar>
              <w:top w:w="0" w:type="dxa"/>
              <w:left w:w="108" w:type="dxa"/>
              <w:bottom w:w="0" w:type="dxa"/>
              <w:right w:w="108" w:type="dxa"/>
            </w:tcMar>
            <w:hideMark/>
          </w:tcPr>
          <w:p w14:paraId="1ED22537" w14:textId="77777777" w:rsidR="002B79FF" w:rsidRPr="00986025" w:rsidRDefault="002B79FF" w:rsidP="00C7266E">
            <w:pPr>
              <w:spacing w:line="60" w:lineRule="atLeast"/>
              <w:jc w:val="right"/>
              <w:rPr>
                <w:rFonts w:ascii="Calibri" w:hAnsi="Calibri" w:cs="Calibri"/>
                <w:sz w:val="18"/>
              </w:rPr>
            </w:pPr>
            <w:r w:rsidRPr="00986025">
              <w:rPr>
                <w:rFonts w:ascii="Arial" w:hAnsi="Arial" w:cs="Arial"/>
                <w:color w:val="000000"/>
                <w:sz w:val="18"/>
              </w:rPr>
              <w:t xml:space="preserve">      1,792 </w:t>
            </w:r>
          </w:p>
        </w:tc>
      </w:tr>
      <w:tr w:rsidR="002B79FF" w:rsidRPr="00986025" w14:paraId="12C7A82F" w14:textId="77777777" w:rsidTr="00C7266E">
        <w:trPr>
          <w:trHeight w:val="60"/>
        </w:trPr>
        <w:tc>
          <w:tcPr>
            <w:tcW w:w="4675" w:type="dxa"/>
            <w:gridSpan w:val="3"/>
            <w:tcBorders>
              <w:top w:val="nil"/>
              <w:left w:val="single" w:sz="8" w:space="0" w:color="auto"/>
              <w:bottom w:val="single" w:sz="8" w:space="0" w:color="auto"/>
              <w:right w:val="single" w:sz="8" w:space="0" w:color="000000"/>
            </w:tcBorders>
            <w:noWrap/>
            <w:tcMar>
              <w:top w:w="0" w:type="dxa"/>
              <w:left w:w="108" w:type="dxa"/>
              <w:bottom w:w="0" w:type="dxa"/>
              <w:right w:w="108" w:type="dxa"/>
            </w:tcMar>
            <w:hideMark/>
          </w:tcPr>
          <w:p w14:paraId="0062B918" w14:textId="77777777" w:rsidR="002B79FF" w:rsidRPr="0054606A" w:rsidRDefault="002B79FF" w:rsidP="00C7266E">
            <w:pPr>
              <w:spacing w:line="60" w:lineRule="atLeast"/>
              <w:jc w:val="center"/>
              <w:rPr>
                <w:rFonts w:ascii="Calibri" w:hAnsi="Calibri" w:cs="Calibri"/>
                <w:sz w:val="18"/>
              </w:rPr>
            </w:pPr>
            <w:r w:rsidRPr="0054606A">
              <w:rPr>
                <w:rFonts w:ascii="Arial" w:hAnsi="Arial" w:cs="Arial"/>
                <w:bCs/>
                <w:color w:val="000000"/>
                <w:sz w:val="18"/>
              </w:rPr>
              <w:t>Total Direct Costs</w:t>
            </w:r>
          </w:p>
        </w:tc>
        <w:tc>
          <w:tcPr>
            <w:tcW w:w="1350" w:type="dxa"/>
            <w:tcBorders>
              <w:top w:val="nil"/>
              <w:left w:val="nil"/>
              <w:bottom w:val="single" w:sz="8" w:space="0" w:color="auto"/>
              <w:right w:val="single" w:sz="8" w:space="0" w:color="auto"/>
            </w:tcBorders>
            <w:noWrap/>
            <w:tcMar>
              <w:top w:w="0" w:type="dxa"/>
              <w:left w:w="108" w:type="dxa"/>
              <w:bottom w:w="0" w:type="dxa"/>
              <w:right w:w="108" w:type="dxa"/>
            </w:tcMar>
            <w:hideMark/>
          </w:tcPr>
          <w:p w14:paraId="666383E4" w14:textId="77777777" w:rsidR="002B79FF" w:rsidRPr="0054606A" w:rsidRDefault="002B79FF" w:rsidP="00C7266E">
            <w:pPr>
              <w:spacing w:line="60" w:lineRule="atLeast"/>
              <w:jc w:val="right"/>
              <w:rPr>
                <w:rFonts w:ascii="Calibri" w:hAnsi="Calibri" w:cs="Calibri"/>
                <w:sz w:val="18"/>
              </w:rPr>
            </w:pPr>
            <w:r w:rsidRPr="0054606A">
              <w:rPr>
                <w:rFonts w:ascii="Arial" w:hAnsi="Arial" w:cs="Arial"/>
                <w:bCs/>
                <w:color w:val="000000"/>
                <w:sz w:val="18"/>
              </w:rPr>
              <w:t xml:space="preserve">    85,470 </w:t>
            </w:r>
          </w:p>
        </w:tc>
      </w:tr>
      <w:tr w:rsidR="002B79FF" w:rsidRPr="00986025" w14:paraId="53399ACF" w14:textId="77777777" w:rsidTr="00C7266E">
        <w:trPr>
          <w:trHeight w:val="60"/>
        </w:trPr>
        <w:tc>
          <w:tcPr>
            <w:tcW w:w="4675" w:type="dxa"/>
            <w:gridSpan w:val="3"/>
            <w:tcBorders>
              <w:top w:val="nil"/>
              <w:left w:val="single" w:sz="8" w:space="0" w:color="auto"/>
              <w:bottom w:val="single" w:sz="8" w:space="0" w:color="auto"/>
              <w:right w:val="single" w:sz="8" w:space="0" w:color="000000"/>
            </w:tcBorders>
            <w:noWrap/>
            <w:tcMar>
              <w:top w:w="0" w:type="dxa"/>
              <w:left w:w="108" w:type="dxa"/>
              <w:bottom w:w="0" w:type="dxa"/>
              <w:right w:w="108" w:type="dxa"/>
            </w:tcMar>
            <w:hideMark/>
          </w:tcPr>
          <w:p w14:paraId="108BD996" w14:textId="6876CDEF" w:rsidR="002B79FF" w:rsidRPr="00986025" w:rsidRDefault="001237AA" w:rsidP="00C7266E">
            <w:pPr>
              <w:spacing w:line="60" w:lineRule="atLeast"/>
              <w:rPr>
                <w:rFonts w:ascii="Calibri" w:hAnsi="Calibri" w:cs="Calibri"/>
                <w:sz w:val="18"/>
              </w:rPr>
            </w:pPr>
            <w:r>
              <w:rPr>
                <w:rFonts w:ascii="Arial" w:hAnsi="Arial" w:cs="Arial"/>
                <w:color w:val="000000"/>
                <w:sz w:val="18"/>
              </w:rPr>
              <w:lastRenderedPageBreak/>
              <w:t xml:space="preserve">ILRI </w:t>
            </w:r>
            <w:r w:rsidR="002B79FF" w:rsidRPr="00986025">
              <w:rPr>
                <w:rFonts w:ascii="Arial" w:hAnsi="Arial" w:cs="Arial"/>
                <w:color w:val="000000"/>
                <w:sz w:val="18"/>
              </w:rPr>
              <w:t>Indirect Costs (17%)</w:t>
            </w:r>
          </w:p>
        </w:tc>
        <w:tc>
          <w:tcPr>
            <w:tcW w:w="1350" w:type="dxa"/>
            <w:tcBorders>
              <w:top w:val="nil"/>
              <w:left w:val="nil"/>
              <w:bottom w:val="single" w:sz="8" w:space="0" w:color="auto"/>
              <w:right w:val="single" w:sz="8" w:space="0" w:color="auto"/>
            </w:tcBorders>
            <w:noWrap/>
            <w:tcMar>
              <w:top w:w="0" w:type="dxa"/>
              <w:left w:w="108" w:type="dxa"/>
              <w:bottom w:w="0" w:type="dxa"/>
              <w:right w:w="108" w:type="dxa"/>
            </w:tcMar>
            <w:hideMark/>
          </w:tcPr>
          <w:p w14:paraId="6027000B" w14:textId="77777777" w:rsidR="002B79FF" w:rsidRPr="00986025" w:rsidRDefault="002B79FF" w:rsidP="00C7266E">
            <w:pPr>
              <w:spacing w:line="60" w:lineRule="atLeast"/>
              <w:jc w:val="right"/>
              <w:rPr>
                <w:rFonts w:ascii="Calibri" w:hAnsi="Calibri" w:cs="Calibri"/>
                <w:sz w:val="18"/>
              </w:rPr>
            </w:pPr>
            <w:r w:rsidRPr="00986025">
              <w:rPr>
                <w:rFonts w:ascii="Arial" w:hAnsi="Arial" w:cs="Arial"/>
                <w:color w:val="000000"/>
                <w:sz w:val="18"/>
              </w:rPr>
              <w:t xml:space="preserve">    14,530 </w:t>
            </w:r>
          </w:p>
        </w:tc>
      </w:tr>
      <w:tr w:rsidR="002B79FF" w:rsidRPr="00986025" w14:paraId="6ADEB3C6" w14:textId="77777777" w:rsidTr="00C7266E">
        <w:trPr>
          <w:trHeight w:val="60"/>
        </w:trPr>
        <w:tc>
          <w:tcPr>
            <w:tcW w:w="4675" w:type="dxa"/>
            <w:gridSpan w:val="3"/>
            <w:tcBorders>
              <w:top w:val="nil"/>
              <w:left w:val="single" w:sz="8" w:space="0" w:color="auto"/>
              <w:bottom w:val="single" w:sz="8" w:space="0" w:color="auto"/>
              <w:right w:val="single" w:sz="8" w:space="0" w:color="000000"/>
            </w:tcBorders>
            <w:noWrap/>
            <w:tcMar>
              <w:top w:w="0" w:type="dxa"/>
              <w:left w:w="108" w:type="dxa"/>
              <w:bottom w:w="0" w:type="dxa"/>
              <w:right w:w="108" w:type="dxa"/>
            </w:tcMar>
            <w:hideMark/>
          </w:tcPr>
          <w:p w14:paraId="63F4D7DB" w14:textId="77777777" w:rsidR="002B79FF" w:rsidRPr="0054606A" w:rsidRDefault="002B79FF" w:rsidP="00C7266E">
            <w:pPr>
              <w:spacing w:line="60" w:lineRule="atLeast"/>
              <w:jc w:val="center"/>
              <w:rPr>
                <w:rFonts w:ascii="Calibri" w:hAnsi="Calibri" w:cs="Calibri"/>
                <w:sz w:val="18"/>
              </w:rPr>
            </w:pPr>
            <w:r w:rsidRPr="0054606A">
              <w:rPr>
                <w:rFonts w:ascii="Arial" w:hAnsi="Arial" w:cs="Arial"/>
                <w:bCs/>
                <w:color w:val="000000"/>
                <w:sz w:val="18"/>
              </w:rPr>
              <w:t>GRAND TOTAL</w:t>
            </w:r>
          </w:p>
        </w:tc>
        <w:tc>
          <w:tcPr>
            <w:tcW w:w="1350" w:type="dxa"/>
            <w:tcBorders>
              <w:top w:val="nil"/>
              <w:left w:val="nil"/>
              <w:bottom w:val="single" w:sz="8" w:space="0" w:color="auto"/>
              <w:right w:val="single" w:sz="8" w:space="0" w:color="auto"/>
            </w:tcBorders>
            <w:noWrap/>
            <w:tcMar>
              <w:top w:w="0" w:type="dxa"/>
              <w:left w:w="108" w:type="dxa"/>
              <w:bottom w:w="0" w:type="dxa"/>
              <w:right w:w="108" w:type="dxa"/>
            </w:tcMar>
            <w:hideMark/>
          </w:tcPr>
          <w:p w14:paraId="4309D289" w14:textId="77777777" w:rsidR="002B79FF" w:rsidRPr="0054606A" w:rsidRDefault="002B79FF" w:rsidP="00C7266E">
            <w:pPr>
              <w:spacing w:line="60" w:lineRule="atLeast"/>
              <w:jc w:val="right"/>
              <w:rPr>
                <w:rFonts w:ascii="Calibri" w:hAnsi="Calibri" w:cs="Calibri"/>
                <w:sz w:val="18"/>
              </w:rPr>
            </w:pPr>
            <w:r w:rsidRPr="0054606A">
              <w:rPr>
                <w:rFonts w:ascii="Arial" w:hAnsi="Arial" w:cs="Arial"/>
                <w:bCs/>
                <w:color w:val="000000"/>
                <w:sz w:val="18"/>
              </w:rPr>
              <w:t xml:space="preserve">  100,000 </w:t>
            </w:r>
          </w:p>
        </w:tc>
      </w:tr>
    </w:tbl>
    <w:p w14:paraId="7CA3A33E" w14:textId="77777777" w:rsidR="002B79FF" w:rsidRDefault="002B79FF" w:rsidP="002B79FF"/>
    <w:p w14:paraId="2CBA8C84" w14:textId="77777777" w:rsidR="002B79FF" w:rsidRDefault="002B79FF" w:rsidP="002B79FF">
      <w:r>
        <w:t>Assessments, strategy and country engagement development (country, flagship and CRP): $97k</w:t>
      </w:r>
    </w:p>
    <w:tbl>
      <w:tblPr>
        <w:tblStyle w:val="TableGrid"/>
        <w:tblW w:w="0" w:type="auto"/>
        <w:tblLook w:val="04A0" w:firstRow="1" w:lastRow="0" w:firstColumn="1" w:lastColumn="0" w:noHBand="0" w:noVBand="1"/>
      </w:tblPr>
      <w:tblGrid>
        <w:gridCol w:w="2268"/>
        <w:gridCol w:w="3780"/>
        <w:gridCol w:w="1980"/>
      </w:tblGrid>
      <w:tr w:rsidR="002B79FF" w:rsidRPr="00CA5858" w14:paraId="70CF82E3" w14:textId="77777777" w:rsidTr="00C7266E">
        <w:trPr>
          <w:trHeight w:val="300"/>
        </w:trPr>
        <w:tc>
          <w:tcPr>
            <w:tcW w:w="2268" w:type="dxa"/>
            <w:noWrap/>
          </w:tcPr>
          <w:p w14:paraId="0BAD7BB3" w14:textId="77777777" w:rsidR="002B79FF" w:rsidRPr="00197905" w:rsidRDefault="002B79FF" w:rsidP="00C7266E">
            <w:pPr>
              <w:rPr>
                <w:b/>
              </w:rPr>
            </w:pPr>
            <w:r w:rsidRPr="00197905">
              <w:rPr>
                <w:b/>
              </w:rPr>
              <w:t xml:space="preserve"> CRP gender strategy</w:t>
            </w:r>
          </w:p>
        </w:tc>
        <w:tc>
          <w:tcPr>
            <w:tcW w:w="3780" w:type="dxa"/>
            <w:noWrap/>
          </w:tcPr>
          <w:p w14:paraId="196F2A0B" w14:textId="77777777" w:rsidR="002B79FF" w:rsidRPr="00CA5858" w:rsidRDefault="002B79FF" w:rsidP="00C7266E">
            <w:r>
              <w:t xml:space="preserve">Consultation and possible one on one meetings </w:t>
            </w:r>
          </w:p>
        </w:tc>
        <w:tc>
          <w:tcPr>
            <w:tcW w:w="1980" w:type="dxa"/>
            <w:noWrap/>
          </w:tcPr>
          <w:p w14:paraId="58AC9B52" w14:textId="77777777" w:rsidR="002B79FF" w:rsidRPr="00CA5858" w:rsidRDefault="002B79FF" w:rsidP="00C7266E">
            <w:pPr>
              <w:jc w:val="right"/>
            </w:pPr>
            <w:r>
              <w:t>10,000</w:t>
            </w:r>
          </w:p>
        </w:tc>
      </w:tr>
      <w:tr w:rsidR="002B79FF" w:rsidRPr="00CA5858" w14:paraId="7A0CA419" w14:textId="77777777" w:rsidTr="00C7266E">
        <w:trPr>
          <w:trHeight w:val="300"/>
        </w:trPr>
        <w:tc>
          <w:tcPr>
            <w:tcW w:w="2268" w:type="dxa"/>
            <w:noWrap/>
          </w:tcPr>
          <w:p w14:paraId="63DD2018" w14:textId="77777777" w:rsidR="002B79FF" w:rsidRPr="00197905" w:rsidRDefault="002B79FF" w:rsidP="00C7266E">
            <w:pPr>
              <w:rPr>
                <w:b/>
              </w:rPr>
            </w:pPr>
            <w:r w:rsidRPr="00197905">
              <w:rPr>
                <w:b/>
              </w:rPr>
              <w:t>Flagship gender strategies</w:t>
            </w:r>
          </w:p>
        </w:tc>
        <w:tc>
          <w:tcPr>
            <w:tcW w:w="3780" w:type="dxa"/>
            <w:noWrap/>
          </w:tcPr>
          <w:p w14:paraId="35252CA2" w14:textId="77777777" w:rsidR="002B79FF" w:rsidRPr="00CA5858" w:rsidRDefault="002B79FF" w:rsidP="00C7266E">
            <w:r>
              <w:t>Covered by the post doc line above</w:t>
            </w:r>
          </w:p>
        </w:tc>
        <w:tc>
          <w:tcPr>
            <w:tcW w:w="1980" w:type="dxa"/>
            <w:noWrap/>
          </w:tcPr>
          <w:p w14:paraId="6E2E1C9D" w14:textId="77777777" w:rsidR="002B79FF" w:rsidRDefault="002B79FF" w:rsidP="00C7266E"/>
        </w:tc>
      </w:tr>
      <w:tr w:rsidR="002B79FF" w:rsidRPr="00CA5858" w14:paraId="5598F80E" w14:textId="77777777" w:rsidTr="00C7266E">
        <w:trPr>
          <w:trHeight w:val="300"/>
        </w:trPr>
        <w:tc>
          <w:tcPr>
            <w:tcW w:w="2268" w:type="dxa"/>
            <w:noWrap/>
            <w:hideMark/>
          </w:tcPr>
          <w:p w14:paraId="52005708" w14:textId="77777777" w:rsidR="002B79FF" w:rsidRPr="00197905" w:rsidRDefault="002B79FF" w:rsidP="00C7266E">
            <w:pPr>
              <w:rPr>
                <w:b/>
              </w:rPr>
            </w:pPr>
            <w:r w:rsidRPr="00197905">
              <w:rPr>
                <w:b/>
              </w:rPr>
              <w:t xml:space="preserve">Country </w:t>
            </w:r>
            <w:r>
              <w:rPr>
                <w:b/>
              </w:rPr>
              <w:t xml:space="preserve">gender </w:t>
            </w:r>
            <w:r w:rsidRPr="00197905">
              <w:rPr>
                <w:b/>
              </w:rPr>
              <w:t xml:space="preserve">assessments </w:t>
            </w:r>
          </w:p>
        </w:tc>
        <w:tc>
          <w:tcPr>
            <w:tcW w:w="3780" w:type="dxa"/>
            <w:noWrap/>
            <w:hideMark/>
          </w:tcPr>
          <w:p w14:paraId="7217A2CC" w14:textId="2DF99612" w:rsidR="002B79FF" w:rsidRPr="00CA5858" w:rsidRDefault="002B79FF" w:rsidP="00C7266E">
            <w:r w:rsidRPr="00CA5858">
              <w:t>stakeholder workshop, col</w:t>
            </w:r>
            <w:r w:rsidR="00263634">
              <w:t>lation and analysis (5% of time of the person mentioned with added money for a workshop)</w:t>
            </w:r>
          </w:p>
        </w:tc>
        <w:tc>
          <w:tcPr>
            <w:tcW w:w="1980" w:type="dxa"/>
            <w:noWrap/>
            <w:hideMark/>
          </w:tcPr>
          <w:p w14:paraId="0FCD6499" w14:textId="77777777" w:rsidR="002B79FF" w:rsidRPr="00CA5858" w:rsidRDefault="002B79FF" w:rsidP="00C7266E">
            <w:r>
              <w:t>Staff and other costs</w:t>
            </w:r>
            <w:r w:rsidRPr="00CA5858">
              <w:t> </w:t>
            </w:r>
          </w:p>
        </w:tc>
      </w:tr>
      <w:tr w:rsidR="002B79FF" w:rsidRPr="00CA5858" w14:paraId="274F0FB5" w14:textId="77777777" w:rsidTr="00C7266E">
        <w:trPr>
          <w:trHeight w:val="300"/>
        </w:trPr>
        <w:tc>
          <w:tcPr>
            <w:tcW w:w="2268" w:type="dxa"/>
            <w:noWrap/>
            <w:hideMark/>
          </w:tcPr>
          <w:p w14:paraId="68710CF2" w14:textId="77777777" w:rsidR="002B79FF" w:rsidRPr="00CA5858" w:rsidRDefault="002B79FF" w:rsidP="00C7266E">
            <w:r w:rsidRPr="00CA5858">
              <w:t xml:space="preserve">Tanzania </w:t>
            </w:r>
          </w:p>
        </w:tc>
        <w:tc>
          <w:tcPr>
            <w:tcW w:w="3780" w:type="dxa"/>
            <w:noWrap/>
            <w:hideMark/>
          </w:tcPr>
          <w:p w14:paraId="540A9447" w14:textId="77777777" w:rsidR="002B79FF" w:rsidRPr="00263634" w:rsidRDefault="002B79FF" w:rsidP="00C7266E">
            <w:r w:rsidRPr="00263634">
              <w:t>Alessandra (6,000)</w:t>
            </w:r>
          </w:p>
        </w:tc>
        <w:tc>
          <w:tcPr>
            <w:tcW w:w="1980" w:type="dxa"/>
            <w:noWrap/>
            <w:hideMark/>
          </w:tcPr>
          <w:p w14:paraId="34E74501" w14:textId="77777777" w:rsidR="002B79FF" w:rsidRPr="00CA5858" w:rsidRDefault="002B79FF" w:rsidP="00C7266E">
            <w:pPr>
              <w:jc w:val="right"/>
            </w:pPr>
            <w:r>
              <w:t>10,000</w:t>
            </w:r>
            <w:r w:rsidRPr="00CA5858">
              <w:t> </w:t>
            </w:r>
          </w:p>
        </w:tc>
      </w:tr>
      <w:tr w:rsidR="002B79FF" w:rsidRPr="00CA5858" w14:paraId="23BC72C6" w14:textId="77777777" w:rsidTr="00C7266E">
        <w:trPr>
          <w:trHeight w:val="300"/>
        </w:trPr>
        <w:tc>
          <w:tcPr>
            <w:tcW w:w="2268" w:type="dxa"/>
            <w:noWrap/>
            <w:hideMark/>
          </w:tcPr>
          <w:p w14:paraId="1F1A4C27" w14:textId="77777777" w:rsidR="002B79FF" w:rsidRPr="00CA5858" w:rsidRDefault="002B79FF" w:rsidP="00C7266E">
            <w:r w:rsidRPr="00CA5858">
              <w:t>Ethiopia</w:t>
            </w:r>
          </w:p>
        </w:tc>
        <w:tc>
          <w:tcPr>
            <w:tcW w:w="3780" w:type="dxa"/>
            <w:noWrap/>
            <w:hideMark/>
          </w:tcPr>
          <w:p w14:paraId="4EE82CE3" w14:textId="77777777" w:rsidR="002B79FF" w:rsidRPr="00263634" w:rsidRDefault="002B79FF" w:rsidP="00C7266E">
            <w:r w:rsidRPr="00263634">
              <w:t>Annet/Wole (6,000 – to be dedicated to covering people’s time)</w:t>
            </w:r>
          </w:p>
        </w:tc>
        <w:tc>
          <w:tcPr>
            <w:tcW w:w="1980" w:type="dxa"/>
            <w:noWrap/>
            <w:hideMark/>
          </w:tcPr>
          <w:p w14:paraId="3C0EED90" w14:textId="77777777" w:rsidR="002B79FF" w:rsidRPr="00CA5858" w:rsidRDefault="002B79FF" w:rsidP="00C7266E">
            <w:pPr>
              <w:jc w:val="right"/>
            </w:pPr>
            <w:r>
              <w:t>10,000</w:t>
            </w:r>
            <w:r w:rsidRPr="00CA5858">
              <w:t> </w:t>
            </w:r>
          </w:p>
        </w:tc>
      </w:tr>
      <w:tr w:rsidR="002B79FF" w:rsidRPr="00CA5858" w14:paraId="3D1A822C" w14:textId="77777777" w:rsidTr="00C7266E">
        <w:trPr>
          <w:trHeight w:val="300"/>
        </w:trPr>
        <w:tc>
          <w:tcPr>
            <w:tcW w:w="2268" w:type="dxa"/>
            <w:noWrap/>
            <w:hideMark/>
          </w:tcPr>
          <w:p w14:paraId="0F8BD805" w14:textId="77777777" w:rsidR="002B79FF" w:rsidRPr="00CA5858" w:rsidRDefault="002B79FF" w:rsidP="00C7266E">
            <w:r w:rsidRPr="00CA5858">
              <w:t>Uganda</w:t>
            </w:r>
          </w:p>
        </w:tc>
        <w:tc>
          <w:tcPr>
            <w:tcW w:w="3780" w:type="dxa"/>
            <w:noWrap/>
            <w:hideMark/>
          </w:tcPr>
          <w:p w14:paraId="02EAF33D" w14:textId="77777777" w:rsidR="002B79FF" w:rsidRPr="00263634" w:rsidRDefault="002B79FF" w:rsidP="00C7266E">
            <w:r w:rsidRPr="00263634">
              <w:t>Nicoline (7,000)</w:t>
            </w:r>
          </w:p>
        </w:tc>
        <w:tc>
          <w:tcPr>
            <w:tcW w:w="1980" w:type="dxa"/>
            <w:noWrap/>
            <w:hideMark/>
          </w:tcPr>
          <w:p w14:paraId="0A822037" w14:textId="77777777" w:rsidR="002B79FF" w:rsidRPr="00CA5858" w:rsidRDefault="002B79FF" w:rsidP="00C7266E">
            <w:pPr>
              <w:jc w:val="right"/>
            </w:pPr>
            <w:r>
              <w:t>12,000</w:t>
            </w:r>
            <w:r w:rsidRPr="00CA5858">
              <w:t> </w:t>
            </w:r>
          </w:p>
        </w:tc>
      </w:tr>
      <w:tr w:rsidR="002B79FF" w:rsidRPr="00CA5858" w14:paraId="473FBF75" w14:textId="77777777" w:rsidTr="00C7266E">
        <w:trPr>
          <w:trHeight w:val="300"/>
        </w:trPr>
        <w:tc>
          <w:tcPr>
            <w:tcW w:w="2268" w:type="dxa"/>
            <w:noWrap/>
            <w:hideMark/>
          </w:tcPr>
          <w:p w14:paraId="3D00B88D" w14:textId="77777777" w:rsidR="002B79FF" w:rsidRPr="00CA5858" w:rsidRDefault="002B79FF" w:rsidP="00C7266E">
            <w:r w:rsidRPr="00CA5858">
              <w:t xml:space="preserve">Nicaragua </w:t>
            </w:r>
          </w:p>
        </w:tc>
        <w:tc>
          <w:tcPr>
            <w:tcW w:w="3780" w:type="dxa"/>
            <w:noWrap/>
            <w:hideMark/>
          </w:tcPr>
          <w:p w14:paraId="5FB4DD53" w14:textId="77777777" w:rsidR="002B79FF" w:rsidRPr="00263634" w:rsidRDefault="002B79FF" w:rsidP="00C7266E">
            <w:r w:rsidRPr="00263634">
              <w:t>Wendy (3,000)</w:t>
            </w:r>
          </w:p>
        </w:tc>
        <w:tc>
          <w:tcPr>
            <w:tcW w:w="1980" w:type="dxa"/>
            <w:noWrap/>
            <w:hideMark/>
          </w:tcPr>
          <w:p w14:paraId="389BACC4" w14:textId="77777777" w:rsidR="002B79FF" w:rsidRPr="00CA5858" w:rsidRDefault="002B79FF" w:rsidP="00C7266E">
            <w:pPr>
              <w:jc w:val="right"/>
            </w:pPr>
            <w:r>
              <w:t>7,000</w:t>
            </w:r>
            <w:r w:rsidRPr="00CA5858">
              <w:t> </w:t>
            </w:r>
          </w:p>
        </w:tc>
      </w:tr>
      <w:tr w:rsidR="002B79FF" w:rsidRPr="00CA5858" w14:paraId="35637A0B" w14:textId="77777777" w:rsidTr="00C7266E">
        <w:trPr>
          <w:trHeight w:val="300"/>
        </w:trPr>
        <w:tc>
          <w:tcPr>
            <w:tcW w:w="2268" w:type="dxa"/>
            <w:noWrap/>
          </w:tcPr>
          <w:p w14:paraId="73A0C6B0" w14:textId="77777777" w:rsidR="002B79FF" w:rsidRPr="00CA5858" w:rsidRDefault="002B79FF" w:rsidP="00C7266E">
            <w:r>
              <w:t>2</w:t>
            </w:r>
            <w:r w:rsidRPr="00CA5858">
              <w:rPr>
                <w:vertAlign w:val="superscript"/>
              </w:rPr>
              <w:t>nd</w:t>
            </w:r>
            <w:r>
              <w:t xml:space="preserve"> tier </w:t>
            </w:r>
          </w:p>
        </w:tc>
        <w:tc>
          <w:tcPr>
            <w:tcW w:w="3780" w:type="dxa"/>
            <w:noWrap/>
          </w:tcPr>
          <w:p w14:paraId="79F3504F" w14:textId="77777777" w:rsidR="002B79FF" w:rsidRPr="00CA5858" w:rsidRDefault="002B79FF" w:rsidP="00C7266E"/>
        </w:tc>
        <w:tc>
          <w:tcPr>
            <w:tcW w:w="1980" w:type="dxa"/>
            <w:noWrap/>
          </w:tcPr>
          <w:p w14:paraId="065CE901" w14:textId="77777777" w:rsidR="002B79FF" w:rsidRPr="00CA5858" w:rsidRDefault="002B79FF" w:rsidP="00C7266E">
            <w:pPr>
              <w:jc w:val="right"/>
            </w:pPr>
          </w:p>
        </w:tc>
      </w:tr>
      <w:tr w:rsidR="002B79FF" w:rsidRPr="00CA5858" w14:paraId="04C1859D" w14:textId="77777777" w:rsidTr="00C7266E">
        <w:trPr>
          <w:trHeight w:val="300"/>
        </w:trPr>
        <w:tc>
          <w:tcPr>
            <w:tcW w:w="2268" w:type="dxa"/>
            <w:noWrap/>
            <w:hideMark/>
          </w:tcPr>
          <w:p w14:paraId="444DD80E" w14:textId="77777777" w:rsidR="002B79FF" w:rsidRPr="00CA5858" w:rsidRDefault="002B79FF" w:rsidP="00C7266E">
            <w:r w:rsidRPr="00CA5858">
              <w:t xml:space="preserve">Kenya </w:t>
            </w:r>
          </w:p>
        </w:tc>
        <w:tc>
          <w:tcPr>
            <w:tcW w:w="3780" w:type="dxa"/>
            <w:noWrap/>
            <w:hideMark/>
          </w:tcPr>
          <w:p w14:paraId="796665AD" w14:textId="77777777" w:rsidR="002B79FF" w:rsidRPr="00CA5858" w:rsidRDefault="002B79FF" w:rsidP="00C7266E">
            <w:r w:rsidRPr="00CA5858">
              <w:t> </w:t>
            </w:r>
          </w:p>
        </w:tc>
        <w:tc>
          <w:tcPr>
            <w:tcW w:w="1980" w:type="dxa"/>
            <w:noWrap/>
            <w:hideMark/>
          </w:tcPr>
          <w:p w14:paraId="6857A0D2" w14:textId="77777777" w:rsidR="002B79FF" w:rsidRPr="00CA5858" w:rsidRDefault="002B79FF" w:rsidP="00C7266E">
            <w:pPr>
              <w:jc w:val="right"/>
            </w:pPr>
            <w:r>
              <w:t>8</w:t>
            </w:r>
            <w:r w:rsidRPr="00CA5858">
              <w:t>,000</w:t>
            </w:r>
          </w:p>
        </w:tc>
      </w:tr>
      <w:tr w:rsidR="002B79FF" w:rsidRPr="00CA5858" w14:paraId="7F287E93" w14:textId="77777777" w:rsidTr="00C7266E">
        <w:trPr>
          <w:trHeight w:val="300"/>
        </w:trPr>
        <w:tc>
          <w:tcPr>
            <w:tcW w:w="2268" w:type="dxa"/>
            <w:noWrap/>
            <w:hideMark/>
          </w:tcPr>
          <w:p w14:paraId="0F2F8C0A" w14:textId="77777777" w:rsidR="002B79FF" w:rsidRPr="00CA5858" w:rsidRDefault="002B79FF" w:rsidP="00C7266E">
            <w:r w:rsidRPr="00CA5858">
              <w:t>Tunisia</w:t>
            </w:r>
          </w:p>
        </w:tc>
        <w:tc>
          <w:tcPr>
            <w:tcW w:w="3780" w:type="dxa"/>
            <w:noWrap/>
            <w:hideMark/>
          </w:tcPr>
          <w:p w14:paraId="2E1C115C" w14:textId="77777777" w:rsidR="002B79FF" w:rsidRPr="00CA5858" w:rsidRDefault="002B79FF" w:rsidP="00C7266E">
            <w:r w:rsidRPr="00CA5858">
              <w:t> </w:t>
            </w:r>
          </w:p>
        </w:tc>
        <w:tc>
          <w:tcPr>
            <w:tcW w:w="1980" w:type="dxa"/>
            <w:noWrap/>
            <w:hideMark/>
          </w:tcPr>
          <w:p w14:paraId="05D2B2F8" w14:textId="77777777" w:rsidR="002B79FF" w:rsidRPr="00CA5858" w:rsidRDefault="002B79FF" w:rsidP="00C7266E">
            <w:pPr>
              <w:jc w:val="right"/>
            </w:pPr>
            <w:r>
              <w:t>8</w:t>
            </w:r>
            <w:r w:rsidRPr="00CA5858">
              <w:t>,000</w:t>
            </w:r>
          </w:p>
        </w:tc>
      </w:tr>
      <w:tr w:rsidR="002B79FF" w:rsidRPr="00CA5858" w14:paraId="734AFFD0" w14:textId="77777777" w:rsidTr="00C7266E">
        <w:trPr>
          <w:trHeight w:val="300"/>
        </w:trPr>
        <w:tc>
          <w:tcPr>
            <w:tcW w:w="2268" w:type="dxa"/>
            <w:noWrap/>
            <w:hideMark/>
          </w:tcPr>
          <w:p w14:paraId="2755F2CE" w14:textId="77777777" w:rsidR="002B79FF" w:rsidRPr="00CA5858" w:rsidRDefault="002B79FF" w:rsidP="00C7266E">
            <w:r w:rsidRPr="00CA5858">
              <w:t xml:space="preserve">Vietnam </w:t>
            </w:r>
          </w:p>
        </w:tc>
        <w:tc>
          <w:tcPr>
            <w:tcW w:w="3780" w:type="dxa"/>
            <w:noWrap/>
            <w:hideMark/>
          </w:tcPr>
          <w:p w14:paraId="275081B5" w14:textId="77777777" w:rsidR="002B79FF" w:rsidRPr="00CA5858" w:rsidRDefault="002B79FF" w:rsidP="00C7266E">
            <w:r w:rsidRPr="00CA5858">
              <w:t>Nicoline/Lucy</w:t>
            </w:r>
          </w:p>
        </w:tc>
        <w:tc>
          <w:tcPr>
            <w:tcW w:w="1980" w:type="dxa"/>
            <w:noWrap/>
            <w:hideMark/>
          </w:tcPr>
          <w:p w14:paraId="568CD16C" w14:textId="77777777" w:rsidR="002B79FF" w:rsidRPr="00CA5858" w:rsidRDefault="002B79FF" w:rsidP="00C7266E">
            <w:pPr>
              <w:jc w:val="right"/>
            </w:pPr>
            <w:r>
              <w:t>8</w:t>
            </w:r>
            <w:r w:rsidRPr="00CA5858">
              <w:t>,000</w:t>
            </w:r>
          </w:p>
        </w:tc>
      </w:tr>
      <w:tr w:rsidR="002B79FF" w:rsidRPr="00CA5858" w14:paraId="5B16372D" w14:textId="77777777" w:rsidTr="00C7266E">
        <w:trPr>
          <w:trHeight w:val="300"/>
        </w:trPr>
        <w:tc>
          <w:tcPr>
            <w:tcW w:w="2268" w:type="dxa"/>
            <w:noWrap/>
            <w:hideMark/>
          </w:tcPr>
          <w:p w14:paraId="1F44B7C4" w14:textId="77777777" w:rsidR="002B79FF" w:rsidRPr="00CA5858" w:rsidRDefault="002B79FF" w:rsidP="00C7266E">
            <w:r w:rsidRPr="00CA5858">
              <w:t>India</w:t>
            </w:r>
          </w:p>
        </w:tc>
        <w:tc>
          <w:tcPr>
            <w:tcW w:w="3780" w:type="dxa"/>
            <w:noWrap/>
            <w:hideMark/>
          </w:tcPr>
          <w:p w14:paraId="2A4A8E94" w14:textId="77777777" w:rsidR="002B79FF" w:rsidRPr="00CA5858" w:rsidRDefault="002B79FF" w:rsidP="00C7266E">
            <w:r w:rsidRPr="00CA5858">
              <w:t> </w:t>
            </w:r>
          </w:p>
        </w:tc>
        <w:tc>
          <w:tcPr>
            <w:tcW w:w="1980" w:type="dxa"/>
            <w:noWrap/>
            <w:hideMark/>
          </w:tcPr>
          <w:p w14:paraId="094C9C56" w14:textId="77777777" w:rsidR="002B79FF" w:rsidRPr="00CA5858" w:rsidRDefault="002B79FF" w:rsidP="00C7266E">
            <w:pPr>
              <w:jc w:val="right"/>
            </w:pPr>
            <w:r>
              <w:t>8</w:t>
            </w:r>
            <w:r w:rsidRPr="00CA5858">
              <w:t>,000</w:t>
            </w:r>
          </w:p>
        </w:tc>
      </w:tr>
      <w:tr w:rsidR="002B79FF" w:rsidRPr="00CA5858" w14:paraId="689A1FF6" w14:textId="77777777" w:rsidTr="00C7266E">
        <w:trPr>
          <w:trHeight w:val="300"/>
        </w:trPr>
        <w:tc>
          <w:tcPr>
            <w:tcW w:w="2268" w:type="dxa"/>
            <w:noWrap/>
            <w:hideMark/>
          </w:tcPr>
          <w:p w14:paraId="7E4FB26E" w14:textId="77777777" w:rsidR="002B79FF" w:rsidRPr="00CA5858" w:rsidRDefault="002B79FF" w:rsidP="00C7266E">
            <w:r w:rsidRPr="00CA5858">
              <w:t>Burkina Faso</w:t>
            </w:r>
          </w:p>
        </w:tc>
        <w:tc>
          <w:tcPr>
            <w:tcW w:w="3780" w:type="dxa"/>
            <w:noWrap/>
            <w:hideMark/>
          </w:tcPr>
          <w:p w14:paraId="527D142E" w14:textId="77777777" w:rsidR="002B79FF" w:rsidRPr="00CA5858" w:rsidRDefault="002B79FF" w:rsidP="00C7266E">
            <w:r w:rsidRPr="00CA5858">
              <w:t> </w:t>
            </w:r>
          </w:p>
        </w:tc>
        <w:tc>
          <w:tcPr>
            <w:tcW w:w="1980" w:type="dxa"/>
            <w:noWrap/>
            <w:hideMark/>
          </w:tcPr>
          <w:p w14:paraId="237C0A0B" w14:textId="77777777" w:rsidR="002B79FF" w:rsidRPr="00CA5858" w:rsidRDefault="002B79FF" w:rsidP="00C7266E">
            <w:pPr>
              <w:jc w:val="right"/>
            </w:pPr>
            <w:r>
              <w:t>8</w:t>
            </w:r>
            <w:r w:rsidRPr="00CA5858">
              <w:t>,000</w:t>
            </w:r>
          </w:p>
        </w:tc>
      </w:tr>
      <w:tr w:rsidR="002B79FF" w:rsidRPr="00CA5858" w14:paraId="19D20030" w14:textId="77777777" w:rsidTr="00C7266E">
        <w:trPr>
          <w:trHeight w:val="300"/>
        </w:trPr>
        <w:tc>
          <w:tcPr>
            <w:tcW w:w="2268" w:type="dxa"/>
            <w:noWrap/>
          </w:tcPr>
          <w:p w14:paraId="7BC903A5" w14:textId="77777777" w:rsidR="002B79FF" w:rsidRPr="00CA5858" w:rsidRDefault="002B79FF" w:rsidP="00C7266E"/>
        </w:tc>
        <w:tc>
          <w:tcPr>
            <w:tcW w:w="3780" w:type="dxa"/>
            <w:noWrap/>
          </w:tcPr>
          <w:p w14:paraId="699DC4A1" w14:textId="77777777" w:rsidR="002B79FF" w:rsidRPr="00CA5858" w:rsidRDefault="002B79FF" w:rsidP="00C7266E">
            <w:r>
              <w:t xml:space="preserve">Total for assessments </w:t>
            </w:r>
          </w:p>
        </w:tc>
        <w:tc>
          <w:tcPr>
            <w:tcW w:w="1980" w:type="dxa"/>
            <w:noWrap/>
          </w:tcPr>
          <w:p w14:paraId="648D3FB5" w14:textId="77777777" w:rsidR="002B79FF" w:rsidRPr="00CA5858" w:rsidRDefault="002B79FF" w:rsidP="00C7266E">
            <w:pPr>
              <w:jc w:val="right"/>
            </w:pPr>
            <w:r>
              <w:t>87,000</w:t>
            </w:r>
          </w:p>
        </w:tc>
      </w:tr>
    </w:tbl>
    <w:p w14:paraId="285DE776" w14:textId="77777777" w:rsidR="002B79FF" w:rsidRDefault="002B79FF" w:rsidP="002B79FF"/>
    <w:p w14:paraId="13EE781E" w14:textId="4FB0470A" w:rsidR="00360364" w:rsidRPr="00543C2C" w:rsidRDefault="00360364" w:rsidP="004615A4"/>
    <w:sectPr w:rsidR="00360364" w:rsidRPr="00543C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5D31ED"/>
    <w:multiLevelType w:val="hybridMultilevel"/>
    <w:tmpl w:val="DA1AAB34"/>
    <w:lvl w:ilvl="0" w:tplc="55B8F3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185391"/>
    <w:multiLevelType w:val="hybridMultilevel"/>
    <w:tmpl w:val="6F5EEAA4"/>
    <w:lvl w:ilvl="0" w:tplc="631C8B24">
      <w:start w:val="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FA2F66"/>
    <w:multiLevelType w:val="hybridMultilevel"/>
    <w:tmpl w:val="4CD4D9F6"/>
    <w:lvl w:ilvl="0" w:tplc="3BA48F10">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9C2403C"/>
    <w:multiLevelType w:val="hybridMultilevel"/>
    <w:tmpl w:val="187484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A411AEC"/>
    <w:multiLevelType w:val="hybridMultilevel"/>
    <w:tmpl w:val="4574F9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142C01"/>
    <w:multiLevelType w:val="hybridMultilevel"/>
    <w:tmpl w:val="DAF0A7F8"/>
    <w:lvl w:ilvl="0" w:tplc="3BA48F10">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6" w15:restartNumberingAfterBreak="0">
    <w:nsid w:val="58895648"/>
    <w:multiLevelType w:val="hybridMultilevel"/>
    <w:tmpl w:val="B17C6C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1C174F9"/>
    <w:multiLevelType w:val="hybridMultilevel"/>
    <w:tmpl w:val="8D4E4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1"/>
  </w:num>
  <w:num w:numId="4">
    <w:abstractNumId w:val="3"/>
  </w:num>
  <w:num w:numId="5">
    <w:abstractNumId w:val="7"/>
  </w:num>
  <w:num w:numId="6">
    <w:abstractNumId w:val="4"/>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4BA1"/>
    <w:rsid w:val="00054BA1"/>
    <w:rsid w:val="00055F28"/>
    <w:rsid w:val="000A6018"/>
    <w:rsid w:val="000D53DC"/>
    <w:rsid w:val="001237AA"/>
    <w:rsid w:val="00177ACF"/>
    <w:rsid w:val="00197905"/>
    <w:rsid w:val="002123C4"/>
    <w:rsid w:val="002460A7"/>
    <w:rsid w:val="00263634"/>
    <w:rsid w:val="002B79FF"/>
    <w:rsid w:val="00360364"/>
    <w:rsid w:val="00360C3A"/>
    <w:rsid w:val="004307BB"/>
    <w:rsid w:val="004404C0"/>
    <w:rsid w:val="004404EA"/>
    <w:rsid w:val="00445748"/>
    <w:rsid w:val="004615A4"/>
    <w:rsid w:val="004A08CE"/>
    <w:rsid w:val="00543C2C"/>
    <w:rsid w:val="0054606A"/>
    <w:rsid w:val="005517C4"/>
    <w:rsid w:val="00563650"/>
    <w:rsid w:val="00563D90"/>
    <w:rsid w:val="005709CC"/>
    <w:rsid w:val="005848F0"/>
    <w:rsid w:val="005E5EE8"/>
    <w:rsid w:val="005E601E"/>
    <w:rsid w:val="00627337"/>
    <w:rsid w:val="006C3643"/>
    <w:rsid w:val="006C6DA5"/>
    <w:rsid w:val="006E0BDF"/>
    <w:rsid w:val="006F5ABD"/>
    <w:rsid w:val="0071496F"/>
    <w:rsid w:val="00753A4F"/>
    <w:rsid w:val="00780F6E"/>
    <w:rsid w:val="007B360E"/>
    <w:rsid w:val="00813AEB"/>
    <w:rsid w:val="00827A42"/>
    <w:rsid w:val="0088719E"/>
    <w:rsid w:val="008C2E67"/>
    <w:rsid w:val="0090156E"/>
    <w:rsid w:val="00931BA7"/>
    <w:rsid w:val="00931D67"/>
    <w:rsid w:val="009552C0"/>
    <w:rsid w:val="00986025"/>
    <w:rsid w:val="00A57D1A"/>
    <w:rsid w:val="00B16C30"/>
    <w:rsid w:val="00BB3ACE"/>
    <w:rsid w:val="00BB4320"/>
    <w:rsid w:val="00BC0D80"/>
    <w:rsid w:val="00BC4B39"/>
    <w:rsid w:val="00BE506F"/>
    <w:rsid w:val="00BF78BA"/>
    <w:rsid w:val="00CA2594"/>
    <w:rsid w:val="00CA2DBE"/>
    <w:rsid w:val="00CA5858"/>
    <w:rsid w:val="00CF74A9"/>
    <w:rsid w:val="00E66A00"/>
    <w:rsid w:val="00EE5C9F"/>
    <w:rsid w:val="00F730B7"/>
    <w:rsid w:val="00F73B85"/>
    <w:rsid w:val="00FA12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E294D1"/>
  <w15:docId w15:val="{C363894F-2046-4E1A-8F48-F6BAB74EF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04EA"/>
    <w:pPr>
      <w:ind w:left="720"/>
      <w:contextualSpacing/>
    </w:pPr>
  </w:style>
  <w:style w:type="character" w:styleId="CommentReference">
    <w:name w:val="annotation reference"/>
    <w:basedOn w:val="DefaultParagraphFont"/>
    <w:uiPriority w:val="99"/>
    <w:semiHidden/>
    <w:unhideWhenUsed/>
    <w:rsid w:val="00827A42"/>
    <w:rPr>
      <w:sz w:val="16"/>
      <w:szCs w:val="16"/>
    </w:rPr>
  </w:style>
  <w:style w:type="paragraph" w:styleId="CommentText">
    <w:name w:val="annotation text"/>
    <w:basedOn w:val="Normal"/>
    <w:link w:val="CommentTextChar"/>
    <w:uiPriority w:val="99"/>
    <w:semiHidden/>
    <w:unhideWhenUsed/>
    <w:rsid w:val="00827A42"/>
    <w:pPr>
      <w:spacing w:line="240" w:lineRule="auto"/>
    </w:pPr>
    <w:rPr>
      <w:sz w:val="20"/>
      <w:szCs w:val="20"/>
    </w:rPr>
  </w:style>
  <w:style w:type="character" w:customStyle="1" w:styleId="CommentTextChar">
    <w:name w:val="Comment Text Char"/>
    <w:basedOn w:val="DefaultParagraphFont"/>
    <w:link w:val="CommentText"/>
    <w:uiPriority w:val="99"/>
    <w:semiHidden/>
    <w:rsid w:val="00827A42"/>
    <w:rPr>
      <w:sz w:val="20"/>
      <w:szCs w:val="20"/>
    </w:rPr>
  </w:style>
  <w:style w:type="paragraph" w:styleId="CommentSubject">
    <w:name w:val="annotation subject"/>
    <w:basedOn w:val="CommentText"/>
    <w:next w:val="CommentText"/>
    <w:link w:val="CommentSubjectChar"/>
    <w:uiPriority w:val="99"/>
    <w:semiHidden/>
    <w:unhideWhenUsed/>
    <w:rsid w:val="00827A42"/>
    <w:rPr>
      <w:b/>
      <w:bCs/>
    </w:rPr>
  </w:style>
  <w:style w:type="character" w:customStyle="1" w:styleId="CommentSubjectChar">
    <w:name w:val="Comment Subject Char"/>
    <w:basedOn w:val="CommentTextChar"/>
    <w:link w:val="CommentSubject"/>
    <w:uiPriority w:val="99"/>
    <w:semiHidden/>
    <w:rsid w:val="00827A42"/>
    <w:rPr>
      <w:b/>
      <w:bCs/>
      <w:sz w:val="20"/>
      <w:szCs w:val="20"/>
    </w:rPr>
  </w:style>
  <w:style w:type="paragraph" w:styleId="BalloonText">
    <w:name w:val="Balloon Text"/>
    <w:basedOn w:val="Normal"/>
    <w:link w:val="BalloonTextChar"/>
    <w:uiPriority w:val="99"/>
    <w:semiHidden/>
    <w:unhideWhenUsed/>
    <w:rsid w:val="00827A4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7A42"/>
    <w:rPr>
      <w:rFonts w:ascii="Segoe UI" w:hAnsi="Segoe UI" w:cs="Segoe UI"/>
      <w:sz w:val="18"/>
      <w:szCs w:val="18"/>
    </w:rPr>
  </w:style>
  <w:style w:type="table" w:styleId="TableGrid">
    <w:name w:val="Table Grid"/>
    <w:basedOn w:val="TableNormal"/>
    <w:uiPriority w:val="59"/>
    <w:rsid w:val="00CA58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8516203">
      <w:bodyDiv w:val="1"/>
      <w:marLeft w:val="0"/>
      <w:marRight w:val="0"/>
      <w:marTop w:val="0"/>
      <w:marBottom w:val="0"/>
      <w:divBdr>
        <w:top w:val="none" w:sz="0" w:space="0" w:color="auto"/>
        <w:left w:val="none" w:sz="0" w:space="0" w:color="auto"/>
        <w:bottom w:val="none" w:sz="0" w:space="0" w:color="auto"/>
        <w:right w:val="none" w:sz="0" w:space="0" w:color="auto"/>
      </w:divBdr>
    </w:div>
    <w:div w:id="783041205">
      <w:bodyDiv w:val="1"/>
      <w:marLeft w:val="0"/>
      <w:marRight w:val="0"/>
      <w:marTop w:val="0"/>
      <w:marBottom w:val="0"/>
      <w:divBdr>
        <w:top w:val="none" w:sz="0" w:space="0" w:color="auto"/>
        <w:left w:val="none" w:sz="0" w:space="0" w:color="auto"/>
        <w:bottom w:val="none" w:sz="0" w:space="0" w:color="auto"/>
        <w:right w:val="none" w:sz="0" w:space="0" w:color="auto"/>
      </w:divBdr>
    </w:div>
    <w:div w:id="1180117013">
      <w:bodyDiv w:val="1"/>
      <w:marLeft w:val="0"/>
      <w:marRight w:val="0"/>
      <w:marTop w:val="0"/>
      <w:marBottom w:val="0"/>
      <w:divBdr>
        <w:top w:val="none" w:sz="0" w:space="0" w:color="auto"/>
        <w:left w:val="none" w:sz="0" w:space="0" w:color="auto"/>
        <w:bottom w:val="none" w:sz="0" w:space="0" w:color="auto"/>
        <w:right w:val="none" w:sz="0" w:space="0" w:color="auto"/>
      </w:divBdr>
    </w:div>
    <w:div w:id="1180586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1220</Words>
  <Characters>6955</Characters>
  <Application>Microsoft Office Word</Application>
  <DocSecurity>4</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8159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Hibiscus</dc:creator>
  <cp:lastModifiedBy>Ndungu, Esther (ILRI)</cp:lastModifiedBy>
  <cp:revision>2</cp:revision>
  <dcterms:created xsi:type="dcterms:W3CDTF">2017-03-29T10:00:00Z</dcterms:created>
  <dcterms:modified xsi:type="dcterms:W3CDTF">2017-03-29T10:00:00Z</dcterms:modified>
</cp:coreProperties>
</file>